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1B11" w14:textId="77777777" w:rsidR="00925FFA" w:rsidRDefault="00925FFA" w:rsidP="00925FFA">
      <w:pPr>
        <w:spacing w:line="276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ՀԻՄՆԱՎՈՐՈՒՄ</w:t>
      </w:r>
    </w:p>
    <w:p w14:paraId="7E4E1E28" w14:textId="77777777" w:rsidR="00925FFA" w:rsidRDefault="00925FFA" w:rsidP="00925FFA">
      <w:pPr>
        <w:spacing w:line="276" w:lineRule="auto"/>
        <w:jc w:val="center"/>
        <w:rPr>
          <w:rFonts w:ascii="GHEA Grapalat" w:eastAsia="GHEA Grapalat" w:hAnsi="GHEA Grapalat" w:cs="GHEA Grapalat"/>
          <w:b/>
        </w:rPr>
      </w:pPr>
      <w:bookmarkStart w:id="0" w:name="_heading=h.qpy6lyxdsxg" w:colFirst="0" w:colLast="0"/>
      <w:bookmarkEnd w:id="0"/>
      <w:r>
        <w:rPr>
          <w:rFonts w:ascii="GHEA Grapalat" w:eastAsia="GHEA Grapalat" w:hAnsi="GHEA Grapalat" w:cs="GHEA Grapalat"/>
          <w:b/>
        </w:rPr>
        <w:t>«ՆԵՐԴՐՈՒՄԱՅԻՆ ՖՈՆԴԵՐԻ ՄԱՍԻՆ» ՕՐԵՆՔՈՒՄ ՓՈՓՈԽՈՒԹՅՈՒՆ ԿԱՏԱՐԵԼՈՒ ՄԱՍԻՆ» ՕՐԵՆՔԻ ՆԱԽԱԳԾԻ ՎԵՐԱԲԵՐՅԱԼ</w:t>
      </w:r>
    </w:p>
    <w:p w14:paraId="15E7F392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7E77F86F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 xml:space="preserve">1. ԱՌԿԱ ԻՐԱՎԻՃԱԿԸ ԵՎ ԿԱՐԳԱՎՈՐՄԱՆ ԵՆԹԱԿԱ ԽՆԴԻՐՆԵՐԸ </w:t>
      </w:r>
    </w:p>
    <w:p w14:paraId="5B82B6B4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40A80550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 w:firstLine="45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Վերջին տարիների վիճակագրությունը վկայում է, որ ոչ հրապարակային ներդրումային ֆոնդերը գրանցում են ակտիվ աճի միտում ինչպես գրանցված ընկերությունների թվաքանակի, այնպես էլ գործունեության հիմնական ցուցանիշների առումներով։</w:t>
      </w:r>
    </w:p>
    <w:p w14:paraId="08E09373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 w:firstLine="45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Այսպես, 2020-2024թթ․ ժամանակահատվածում վերջիններիս քանակն աճել է՝ 36-ից դառնալով 112 (2020թ․՝ 36, 2021թ․՝ 45, 2022թ․՝ 59, 2023թ․՝  87, 2024թ․՝ 112): Անշեղորեն աճել են նաև մի շարք տնտեսական ցուցանիշներ, որոնք ներկայացված են ստորև։</w:t>
      </w:r>
    </w:p>
    <w:p w14:paraId="2A855DE6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 w:firstLine="450"/>
        <w:jc w:val="both"/>
        <w:rPr>
          <w:rFonts w:ascii="GHEA Grapalat" w:eastAsia="GHEA Grapalat" w:hAnsi="GHEA Grapalat" w:cs="GHEA Grapalat"/>
        </w:rPr>
      </w:pPr>
    </w:p>
    <w:p w14:paraId="59700018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noProof/>
        </w:rPr>
        <w:drawing>
          <wp:inline distT="114300" distB="114300" distL="114300" distR="114300" wp14:anchorId="102DE75E" wp14:editId="4C11B586">
            <wp:extent cx="6152515" cy="3060700"/>
            <wp:effectExtent l="0" t="0" r="0" b="0"/>
            <wp:docPr id="204982033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6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C073C2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/>
        <w:jc w:val="both"/>
        <w:rPr>
          <w:rFonts w:ascii="GHEA Grapalat" w:eastAsia="GHEA Grapalat" w:hAnsi="GHEA Grapalat" w:cs="GHEA Grapal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E6DAE3E" wp14:editId="30C27530">
            <wp:simplePos x="0" y="0"/>
            <wp:positionH relativeFrom="column">
              <wp:posOffset>4168350</wp:posOffset>
            </wp:positionH>
            <wp:positionV relativeFrom="paragraph">
              <wp:posOffset>2649855</wp:posOffset>
            </wp:positionV>
            <wp:extent cx="1206500" cy="279400"/>
            <wp:effectExtent l="0" t="0" r="0" b="0"/>
            <wp:wrapNone/>
            <wp:docPr id="20498203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25A78D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 w:firstLine="450"/>
        <w:jc w:val="both"/>
        <w:rPr>
          <w:rFonts w:ascii="GHEA Grapalat" w:eastAsia="GHEA Grapalat" w:hAnsi="GHEA Grapalat" w:cs="GHEA Grapalat"/>
        </w:rPr>
      </w:pPr>
    </w:p>
    <w:p w14:paraId="2199B067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 w:firstLine="450"/>
        <w:jc w:val="both"/>
        <w:rPr>
          <w:rFonts w:ascii="GHEA Grapalat" w:eastAsia="GHEA Grapalat" w:hAnsi="GHEA Grapalat" w:cs="GHEA Grapalat"/>
        </w:rPr>
      </w:pPr>
    </w:p>
    <w:p w14:paraId="201133A4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 w:firstLine="450"/>
        <w:jc w:val="both"/>
        <w:rPr>
          <w:rFonts w:ascii="GHEA Grapalat" w:eastAsia="GHEA Grapalat" w:hAnsi="GHEA Grapalat" w:cs="GHEA Grapalat"/>
        </w:rPr>
      </w:pPr>
    </w:p>
    <w:p w14:paraId="4EF6D459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450" w:right="150" w:hanging="9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Չնայած կայուն աճի միտումներին՝ առկա են որոշ օրենսդրական խոչընդոտներ, որոնք սահմանափակում են ոչ հրապարակային ներդրումային ֆոնդերի բնականոն զարգացմանը և ունեն միջազգայնորեն ընդունված կանոններին համապատասխանեցնելու կարիք։</w:t>
      </w:r>
    </w:p>
    <w:p w14:paraId="6E3D35E4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 w:firstLine="450"/>
        <w:jc w:val="both"/>
        <w:rPr>
          <w:rFonts w:ascii="GHEA Grapalat" w:eastAsia="GHEA Grapalat" w:hAnsi="GHEA Grapalat" w:cs="GHEA Grapalat"/>
        </w:rPr>
      </w:pPr>
    </w:p>
    <w:p w14:paraId="3D496AAF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50" w:firstLine="45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«Ներդրումային ֆոնդերի մասին» ՀՀ օրենքի (այսուհետ` Օրենք) 8-րդ հոդվածի 3-րդ մասի համաձայն </w:t>
      </w:r>
      <w:r>
        <w:rPr>
          <w:rFonts w:ascii="Calibri" w:eastAsia="Calibri" w:hAnsi="Calibri" w:cs="Calibri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ոչ հրապարակային ֆոնդը կարող է ունենալ ոչ ավելի, քան 49 մասնակից: Մասնակիցների թիվը 49-ից անցնելու դեպքում ոչ հրապարակային ֆոնդը պարտավոր է 90 օրացուցային օրվա ընթացքում սույն օրենքով սահմանված ընդհանուր կարգով վերագրանցվել որպես հրապարակային ֆոնդ կամ համապատասխանաբար կրճատել իր մասնակիցների թիվը: Հակառակ դեպքում այն ենթակա է դատական կարգով լուծարման:</w:t>
      </w:r>
    </w:p>
    <w:p w14:paraId="448E82FB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150" w:firstLine="45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Միաժամանակ նշված կարգավորման դրույթները օրգանական կապի մեջ են ՀՀ օրենսդրության մի շարք այլ կարգավորումների հետ: </w:t>
      </w:r>
    </w:p>
    <w:p w14:paraId="2A43B4FF" w14:textId="77777777" w:rsidR="00925FFA" w:rsidRDefault="00925FFA" w:rsidP="00925FFA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Մասնավորապես Օրենքի 3-րդ հոդվածի 1-ին մասի 3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color w:val="000000"/>
        </w:rPr>
        <w:t>րդ կետի համաձայն ոչ հրապարակային ֆոնդն այն ֆոնդն է, որի կանոնադրության (կանոնների) համաձայն` իր թողարկած արժեթղթերը չեն կարող տեղաբաշխվել հրապարակային առաջարկի, այդ թվում` բացառապես անորոշ թվով որակավորված ներդրողներին ուղղված առաջարկի միջոցով:</w:t>
      </w:r>
    </w:p>
    <w:p w14:paraId="02835E00" w14:textId="77777777" w:rsidR="00925FFA" w:rsidRDefault="00925FFA" w:rsidP="00925FFA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Նույն կերպ, Օրենքի 8-րդ հոդվածի 2-րդ մասի համաձայն ոչ հրապարակային ֆոնդի փայերի (բաժնետոմսերի) հրապարակային տեղաբաշխում չի կարող իրականացվել:</w:t>
      </w:r>
    </w:p>
    <w:p w14:paraId="04B9E4CB" w14:textId="77777777" w:rsidR="00925FFA" w:rsidRDefault="00925FFA" w:rsidP="00925FFA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«Արժեթղթերի շուկայի մասին» ՀՀ օրենքի 3-րդ հոդվածի 1-ին մասի 9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color w:val="000000"/>
        </w:rPr>
        <w:t>րդ կետի համաձայն արժեթղթերի հրապարակային առաջարկ է համարվում որակավորված ներդրող չհանդիսացող 100-ից ավելի անձանց կամ անորոշ թվով անձանց ուղղված արժեթղթերի առաջարկը:</w:t>
      </w:r>
    </w:p>
    <w:p w14:paraId="6A8AFB77" w14:textId="77777777" w:rsidR="00925FFA" w:rsidRDefault="00925FFA" w:rsidP="00925FFA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Վերոգրյալից ակնհայտ է, որ ոչ հրապարակային ներդրումային ֆոնդերի տարանջատման միակ (և առան</w:t>
      </w:r>
      <w:r>
        <w:rPr>
          <w:rFonts w:ascii="GHEA Grapalat" w:eastAsia="GHEA Grapalat" w:hAnsi="GHEA Grapalat" w:cs="GHEA Grapalat"/>
        </w:rPr>
        <w:t>ց</w:t>
      </w:r>
      <w:r>
        <w:rPr>
          <w:rFonts w:ascii="GHEA Grapalat" w:eastAsia="GHEA Grapalat" w:hAnsi="GHEA Grapalat" w:cs="GHEA Grapalat"/>
          <w:color w:val="000000"/>
        </w:rPr>
        <w:t>քային կարևորություն ունեցող) չափանիշը դրա կողմից թողարկվող արժեթղթերի հրապարակային առաջարկի արգելքն է: Նման մոտեցումը արտացոլում է ինչպես միջազգայնորեն ընդունված մոտեցումները` հրապարակային և ոչ հրապարակային ֆոնդերի կարգավորիչ պահանջների սահմանման տեսանկյունից, քանի որ հրապարակային առաջարկի դեպքում առկա է անհամեմատ ավելի մեծ հանրային շահ և դրա պաշտպանության համար անհրաժեշտ է շատ ավելի խիստ և մանրամասն պահանջների կիրառում:</w:t>
      </w:r>
    </w:p>
    <w:p w14:paraId="70DDEC25" w14:textId="77777777" w:rsidR="00925FFA" w:rsidRDefault="00925FFA" w:rsidP="00925FFA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Միևնույն ժամանակ, սակայն, Օրենքով սահմանված 49 մասնակցի շեմը համահունչ չէ այդ տրամաբանության հետ, քանի որ հրապարակային առաջարկի տեսանկյունից մինչև 100 նույնիսկ չորակավորված ներդրողներին կատարվող առաջարկը չի հանդիսանում հրապարակային առաջարկ:</w:t>
      </w:r>
    </w:p>
    <w:p w14:paraId="0CB935E4" w14:textId="77777777" w:rsidR="00925FFA" w:rsidRDefault="00925FFA" w:rsidP="00925FFA">
      <w:pPr>
        <w:spacing w:line="276" w:lineRule="auto"/>
        <w:ind w:firstLine="45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Եվ ընդհակառակը, այն պայմաններում, երբ ֆոնդն ունի հարյուր և ավելի մասնակից, կարող է ստեղծվել հստակ կանխավարկած` հրապարակ</w:t>
      </w:r>
      <w:r>
        <w:rPr>
          <w:rFonts w:ascii="GHEA Grapalat" w:eastAsia="GHEA Grapalat" w:hAnsi="GHEA Grapalat" w:cs="GHEA Grapalat"/>
        </w:rPr>
        <w:t xml:space="preserve">ային </w:t>
      </w:r>
      <w:r>
        <w:rPr>
          <w:rFonts w:ascii="GHEA Grapalat" w:eastAsia="GHEA Grapalat" w:hAnsi="GHEA Grapalat" w:cs="GHEA Grapalat"/>
          <w:color w:val="000000"/>
        </w:rPr>
        <w:t>առաջարկ տեղի ունենալու/ունեցած լինելու մասին:</w:t>
      </w:r>
    </w:p>
    <w:p w14:paraId="3855156A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>Հատկանշական է նաև, միջազգային փորձի ուսումնասիրությունը թ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  <w:color w:val="000000"/>
        </w:rPr>
        <w:t>յլ չի տվել վեր հանել նման տիպի քանակական սահմանափակում նախատեսող շատ կարգավորումներ: Իսկ այն երկրների օրենսդրություններ</w:t>
      </w:r>
      <w:r>
        <w:rPr>
          <w:rFonts w:ascii="GHEA Grapalat" w:eastAsia="GHEA Grapalat" w:hAnsi="GHEA Grapalat" w:cs="GHEA Grapalat"/>
        </w:rPr>
        <w:t>ում, որտեղ նման սահմանափակումներ նախատեսված են, սահմանված շեմը ավելի բարենպաստ է ներդրողների ներգրավմանը։</w:t>
      </w:r>
    </w:p>
    <w:p w14:paraId="33235614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Մասնավորապես, նման քանակական սահմանափակումներ առկա չեն Ղազախստանի Հանրապետությունում</w:t>
      </w:r>
      <w:r>
        <w:rPr>
          <w:rFonts w:ascii="GHEA Grapalat" w:eastAsia="GHEA Grapalat" w:hAnsi="GHEA Grapalat" w:cs="GHEA Grapalat"/>
          <w:vertAlign w:val="superscript"/>
        </w:rPr>
        <w:footnoteReference w:id="1"/>
      </w:r>
      <w:r>
        <w:rPr>
          <w:rFonts w:ascii="GHEA Grapalat" w:eastAsia="GHEA Grapalat" w:hAnsi="GHEA Grapalat" w:cs="GHEA Grapalat"/>
        </w:rPr>
        <w:t>, Մոլդովայում</w:t>
      </w:r>
      <w:r>
        <w:rPr>
          <w:rFonts w:ascii="GHEA Grapalat" w:eastAsia="GHEA Grapalat" w:hAnsi="GHEA Grapalat" w:cs="GHEA Grapalat"/>
          <w:vertAlign w:val="superscript"/>
        </w:rPr>
        <w:footnoteReference w:id="2"/>
      </w:r>
      <w:r>
        <w:rPr>
          <w:rFonts w:ascii="GHEA Grapalat" w:eastAsia="GHEA Grapalat" w:hAnsi="GHEA Grapalat" w:cs="GHEA Grapalat"/>
        </w:rPr>
        <w:t>, Ֆրանսիայում</w:t>
      </w:r>
      <w:r>
        <w:rPr>
          <w:rFonts w:ascii="GHEA Grapalat" w:eastAsia="GHEA Grapalat" w:hAnsi="GHEA Grapalat" w:cs="GHEA Grapalat"/>
          <w:vertAlign w:val="superscript"/>
        </w:rPr>
        <w:footnoteReference w:id="3"/>
      </w:r>
      <w:r>
        <w:rPr>
          <w:rFonts w:ascii="GHEA Grapalat" w:eastAsia="GHEA Grapalat" w:hAnsi="GHEA Grapalat" w:cs="GHEA Grapalat"/>
        </w:rPr>
        <w:t>: Ընդ որում, հարկ է ընդգծել, որ թե՛ Ֆրանսիայի, թե՛ շատ այլ եվրոպական երկրների համար հրապարակային տեղաբաշխումը կարգավորող հիմնական ակտ է հանդիսանում ԵՄ 2017/1129 ակտը, որի 1-ին հոդվածի 4-րդ մասի “a” և “b” կետերի համաձայն՝ ազդագիր հրապարակելու պարտականությունը չի տարածվում, ի թիվս այլոց,  այն արժեթղթերի առաջարկների վրա, որոնք ուղղված են բացառապես որակավորված ներդրողների կամ, յուրաքանչյուր անդամ պետությունում մինչև 150 ֆիզիկական կամ իրավաբանական անձանց, բացառությամբ որակավորված ներդրողների։ Իսկ ահա 3–րդ հոդվածի 2-րդ մասի “b” կետի համաձայն՝ անդամ երկրները կարող են ազատել ազդագիր հրապարակելու պարտականությունից, եթե ԵՄ-ում տվյալ առաջարկի դրամային արտահայտությունը 12 ամսվա կտրվածքով չի գերազանցում ութ միլիոն եվրոն</w:t>
      </w:r>
      <w:r>
        <w:rPr>
          <w:rFonts w:ascii="GHEA Grapalat" w:eastAsia="GHEA Grapalat" w:hAnsi="GHEA Grapalat" w:cs="GHEA Grapalat"/>
          <w:vertAlign w:val="superscript"/>
        </w:rPr>
        <w:footnoteReference w:id="4"/>
      </w:r>
      <w:r>
        <w:rPr>
          <w:rFonts w:ascii="GHEA Grapalat" w:eastAsia="GHEA Grapalat" w:hAnsi="GHEA Grapalat" w:cs="GHEA Grapalat"/>
        </w:rPr>
        <w:t>։ Այսպիսով, ԵՄ 2017/1129 ակտի կարգավորումները արտացոլվել են նաև Ֆրանսիայի ներքին օրենսդրությամբ</w:t>
      </w:r>
      <w:r>
        <w:rPr>
          <w:rFonts w:ascii="GHEA Grapalat" w:eastAsia="GHEA Grapalat" w:hAnsi="GHEA Grapalat" w:cs="GHEA Grapalat"/>
          <w:vertAlign w:val="superscript"/>
        </w:rPr>
        <w:footnoteReference w:id="5"/>
      </w:r>
      <w:r>
        <w:rPr>
          <w:rFonts w:ascii="GHEA Grapalat" w:eastAsia="GHEA Grapalat" w:hAnsi="GHEA Grapalat" w:cs="GHEA Grapalat"/>
        </w:rPr>
        <w:t>։</w:t>
      </w:r>
    </w:p>
    <w:p w14:paraId="6DAA1D8C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>Բացառություն է կազմում Վրաստանի օրինակը, որի պարագայում սակայն, նույնպես որպես ուղենիշ վերցված է հրապարակայի</w:t>
      </w:r>
      <w:r>
        <w:rPr>
          <w:rFonts w:ascii="GHEA Grapalat" w:eastAsia="GHEA Grapalat" w:hAnsi="GHEA Grapalat" w:cs="GHEA Grapalat"/>
          <w:color w:val="000000"/>
        </w:rPr>
        <w:t>ն առաջարկի շեմը (և նույնական թիվը):</w:t>
      </w:r>
    </w:p>
    <w:p w14:paraId="323C6D5C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Ընդհանուր առմամբ միջազգային փորձի ուսումնասիրությունը վկայում է այն մասին, որ ոչ հրապարակային ֆոնդի նկատմամբ ավելի մեղմ պահանջների սահմանման համար հիմք է ընդունվում ոչ թե դրա մասնակիցների քանակական ցուցանիշը, այլ արժեթղերի հրապարակային առաջարկ իրականացնելը կամ չիրականացնելը, ինչպես նաև ներդրողների կազմը (որակավորում, տիրապետվող ակտիվների ծավալ, գիտելիքների մակարդակ և այլն):</w:t>
      </w:r>
    </w:p>
    <w:p w14:paraId="533C32AB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</w:p>
    <w:p w14:paraId="4770B891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  <w:b/>
          <w:highlight w:val="yellow"/>
        </w:rPr>
      </w:pPr>
    </w:p>
    <w:p w14:paraId="4A656279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2. ԿԱՐԳԱՎՈՐՄԱՆ ՆՊԱՏԱԿՆԵՐԸ</w:t>
      </w:r>
    </w:p>
    <w:p w14:paraId="2E7FA6F5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Ելնելով վերոգրյալից` նախագծերի փաթեթի նպատակն է ստեղծել իրավական պայմաններ ՀՀ ներդրումային ֆոնդերում ներդրումների ներգրավման համար՝ բարձրացնելով ՀՀ տնտեսավարողների կողմից կապիտալի ներգրավման հնարավորությունները:</w:t>
      </w:r>
    </w:p>
    <w:p w14:paraId="7234C72A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</w:rPr>
      </w:pPr>
    </w:p>
    <w:p w14:paraId="6DC97F01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3</w:t>
      </w:r>
      <w:r>
        <w:rPr>
          <w:rFonts w:ascii="Cambria Math" w:eastAsia="Cambria Math" w:hAnsi="Cambria Math" w:cs="Cambria Math"/>
          <w:b/>
        </w:rPr>
        <w:t>․</w:t>
      </w:r>
      <w:r>
        <w:rPr>
          <w:rFonts w:ascii="GHEA Grapalat" w:eastAsia="GHEA Grapalat" w:hAnsi="GHEA Grapalat" w:cs="GHEA Grapalat"/>
          <w:b/>
        </w:rPr>
        <w:t xml:space="preserve"> ԱՌԱՋԱՐԿՎՈՂ ԿԱՐԳԱՎՈՐՈՒՄՆԵՐԸ</w:t>
      </w:r>
    </w:p>
    <w:p w14:paraId="661A472A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Նախագծով առաջարկվում է ոչ հրապարակային ներդրումային ֆոնդերի մասնակիցների առավելագույն թիվը ներկայիս 49-ի փոխարեն սահմանել 99։</w:t>
      </w:r>
    </w:p>
    <w:p w14:paraId="19291590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  <w:highlight w:val="yellow"/>
        </w:rPr>
      </w:pPr>
    </w:p>
    <w:p w14:paraId="582D0017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4. ԱԿՆԿԱԼՎՈՂ ԱՐԴՅՈՒՆՔՆԵՐԸ</w:t>
      </w:r>
    </w:p>
    <w:p w14:paraId="516956D5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ab/>
        <w:t xml:space="preserve">Ակնկալվում է, որ նախագծի ընդունմամբ կստեղծվեն Հայաստանում գործող ներդրումային ֆոնդերում և որպես հետևանք՝ նաև ՀՀ այլ ընկերություններում  ներդրումներ կատարելու համար լրացուցիչ հնարավորություններ: </w:t>
      </w:r>
    </w:p>
    <w:p w14:paraId="51351979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Նախագծի ընդունմամբ լրացուցիչ ֆինանսական միջոցների անհրաժեշտություն և պետական բյուջեի եկամուտներում և ծախսերում փոփոխություններ չեն սպասվում: </w:t>
      </w:r>
    </w:p>
    <w:p w14:paraId="7D1F069A" w14:textId="77777777" w:rsidR="00925FFA" w:rsidRDefault="00925FFA" w:rsidP="00925FFA">
      <w:pPr>
        <w:spacing w:line="276" w:lineRule="auto"/>
        <w:jc w:val="both"/>
        <w:rPr>
          <w:rFonts w:ascii="GHEA Grapalat" w:eastAsia="GHEA Grapalat" w:hAnsi="GHEA Grapalat" w:cs="GHEA Grapalat"/>
          <w:highlight w:val="yellow"/>
        </w:rPr>
      </w:pPr>
    </w:p>
    <w:p w14:paraId="2A4D455F" w14:textId="77777777" w:rsidR="00925FFA" w:rsidRDefault="00925FFA" w:rsidP="00925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ԿԱՊԸ ՌԱԶՄԱՎԱՐԱԿԱՆ ՓԱՍՏԱԹՂԹԵՐԻ ՀԵՏ</w:t>
      </w:r>
    </w:p>
    <w:p w14:paraId="716B1810" w14:textId="77777777" w:rsidR="00925FFA" w:rsidRDefault="00925FFA" w:rsidP="00925FFA">
      <w:pPr>
        <w:spacing w:line="276" w:lineRule="auto"/>
        <w:ind w:firstLine="720"/>
        <w:jc w:val="both"/>
        <w:rPr>
          <w:rFonts w:ascii="GHEA Grapalat" w:eastAsia="GHEA Grapalat" w:hAnsi="GHEA Grapalat" w:cs="GHEA Grapalat"/>
        </w:rPr>
      </w:pPr>
    </w:p>
    <w:p w14:paraId="348713C0" w14:textId="77777777" w:rsidR="00925FFA" w:rsidRDefault="00925FFA" w:rsidP="00925FFA">
      <w:pPr>
        <w:spacing w:line="276" w:lineRule="auto"/>
        <w:ind w:firstLine="36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Նախագծի ընդունումը ապահովում է «Փոքր և միջին ձեռնարկատիրության զարգացման 2020-2024 թվականների ռազմավարությունը և դրանից բխող 2020-2022 թվականների գործողությունների ծրագիրը հաստատելու մասին» Հայաստանի Հանրապետության կառավարության 2020 թվականի օգոստոսի 27–ի №1443-Լ որոշման Հավելված №2–ի 1.4.2 կետի (Անհրաժեշտության դեպքում մշակել ներդրումնային ֆոնդերի և բիզնես-հրեշտակների կայացմանը նպաստող օրենսդրական բարեփոխումների փաթեթ) դրույթների կատարումը։ </w:t>
      </w:r>
    </w:p>
    <w:p w14:paraId="3D0D82FE" w14:textId="77777777" w:rsidR="00925FFA" w:rsidRDefault="00925FFA" w:rsidP="00925FFA">
      <w:pPr>
        <w:tabs>
          <w:tab w:val="left" w:pos="1650"/>
        </w:tabs>
        <w:spacing w:line="276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ab/>
      </w:r>
    </w:p>
    <w:p w14:paraId="4A6726BC" w14:textId="77777777" w:rsidR="00925FFA" w:rsidRDefault="00925FFA" w:rsidP="00925F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ՆԱԽԱԳԻԾԸ ՄՇԱԿՈՂ ՄԱՐՄԻՆՆԵՐԸ</w:t>
      </w:r>
    </w:p>
    <w:p w14:paraId="7245D9AE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360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Նախագիծը մշակվել է </w:t>
      </w:r>
      <w:r w:rsidRPr="00B64B9C">
        <w:rPr>
          <w:rFonts w:ascii="GHEA Grapalat" w:eastAsia="GHEA Grapalat" w:hAnsi="GHEA Grapalat" w:cs="GHEA Grapalat"/>
          <w:bCs/>
          <w:color w:val="000000"/>
        </w:rPr>
        <w:t>ՀՀ էկոնոմիկայի նախարարության և Վերակառուցման և Զարգացման Եվրոպական Բանկի Հայաստանի Ներդրումային Խորհրդի կողմից</w:t>
      </w:r>
      <w:r>
        <w:rPr>
          <w:rFonts w:ascii="GHEA Grapalat" w:eastAsia="GHEA Grapalat" w:hAnsi="GHEA Grapalat" w:cs="GHEA Grapalat"/>
          <w:b/>
          <w:color w:val="000000"/>
        </w:rPr>
        <w:t>:</w:t>
      </w:r>
    </w:p>
    <w:p w14:paraId="7CBCCAD0" w14:textId="77777777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360"/>
        <w:jc w:val="both"/>
        <w:rPr>
          <w:rFonts w:ascii="GHEA Grapalat" w:eastAsia="GHEA Grapalat" w:hAnsi="GHEA Grapalat" w:cs="GHEA Grapalat"/>
          <w:color w:val="000000"/>
        </w:rPr>
      </w:pPr>
      <w:r w:rsidRPr="00B64B9C">
        <w:rPr>
          <w:rFonts w:ascii="GHEA Grapalat" w:eastAsia="GHEA Grapalat" w:hAnsi="GHEA Grapalat" w:cs="GHEA Grapalat"/>
          <w:color w:val="000000"/>
        </w:rPr>
        <w:t>Նախագիծը քննարկվել է ՀՀ էկոնոմիկայի նախարարի նախագահությամբ 14</w:t>
      </w:r>
      <w:r w:rsidRPr="00B64B9C">
        <w:rPr>
          <w:rFonts w:ascii="Microsoft JhengHei" w:eastAsia="Microsoft JhengHei" w:hAnsi="Microsoft JhengHei" w:cs="Microsoft JhengHei" w:hint="eastAsia"/>
          <w:color w:val="000000"/>
        </w:rPr>
        <w:t>․</w:t>
      </w:r>
      <w:r w:rsidRPr="00B64B9C">
        <w:rPr>
          <w:rFonts w:ascii="GHEA Grapalat" w:eastAsia="Microsoft JhengHei" w:hAnsi="GHEA Grapalat" w:cs="Microsoft JhengHei"/>
          <w:color w:val="000000"/>
        </w:rPr>
        <w:t>07</w:t>
      </w:r>
      <w:r w:rsidRPr="00B64B9C">
        <w:rPr>
          <w:rFonts w:ascii="Microsoft JhengHei" w:eastAsia="Microsoft JhengHei" w:hAnsi="Microsoft JhengHei" w:cs="Microsoft JhengHei" w:hint="eastAsia"/>
          <w:color w:val="000000"/>
        </w:rPr>
        <w:t>․</w:t>
      </w:r>
      <w:r w:rsidRPr="00B64B9C">
        <w:rPr>
          <w:rFonts w:ascii="GHEA Grapalat" w:eastAsia="Microsoft JhengHei" w:hAnsi="GHEA Grapalat" w:cs="Microsoft JhengHei"/>
          <w:color w:val="000000"/>
        </w:rPr>
        <w:t xml:space="preserve">2025թ </w:t>
      </w:r>
      <w:r w:rsidRPr="00B64B9C">
        <w:rPr>
          <w:rFonts w:ascii="GHEA Grapalat" w:eastAsia="GHEA Grapalat" w:hAnsi="GHEA Grapalat" w:cs="GHEA Grapalat"/>
          <w:color w:val="000000"/>
        </w:rPr>
        <w:t>կայացած</w:t>
      </w:r>
      <w:r>
        <w:rPr>
          <w:rFonts w:ascii="GHEA Grapalat" w:eastAsia="GHEA Grapalat" w:hAnsi="GHEA Grapalat" w:cs="GHEA Grapalat"/>
          <w:color w:val="000000"/>
        </w:rPr>
        <w:t xml:space="preserve"> ՓՄՁ զարգացման ենթախորհրդի նիստում:</w:t>
      </w:r>
    </w:p>
    <w:p w14:paraId="71BD8F43" w14:textId="44D9338C" w:rsidR="00925FFA" w:rsidRDefault="00925FFA" w:rsidP="00925FFA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360"/>
        <w:jc w:val="both"/>
        <w:rPr>
          <w:rFonts w:ascii="GHEA Grapalat" w:eastAsia="GHEA Grapalat" w:hAnsi="GHEA Grapalat" w:cs="GHEA Grapalat"/>
          <w:b/>
        </w:rPr>
      </w:pPr>
    </w:p>
    <w:p w14:paraId="6C77B43A" w14:textId="77777777" w:rsidR="00985147" w:rsidRDefault="00985147"/>
    <w:sectPr w:rsidR="0098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CDA5" w14:textId="77777777" w:rsidR="00C41400" w:rsidRDefault="00C41400" w:rsidP="00925FFA">
      <w:r>
        <w:separator/>
      </w:r>
    </w:p>
  </w:endnote>
  <w:endnote w:type="continuationSeparator" w:id="0">
    <w:p w14:paraId="40E7C1EF" w14:textId="77777777" w:rsidR="00C41400" w:rsidRDefault="00C41400" w:rsidP="0092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64E1" w14:textId="77777777" w:rsidR="00C41400" w:rsidRDefault="00C41400" w:rsidP="00925FFA">
      <w:r>
        <w:separator/>
      </w:r>
    </w:p>
  </w:footnote>
  <w:footnote w:type="continuationSeparator" w:id="0">
    <w:p w14:paraId="30B2B3F2" w14:textId="77777777" w:rsidR="00C41400" w:rsidRDefault="00C41400" w:rsidP="00925FFA">
      <w:r>
        <w:continuationSeparator/>
      </w:r>
    </w:p>
  </w:footnote>
  <w:footnote w:id="1">
    <w:p w14:paraId="2F168529" w14:textId="77777777" w:rsidR="00925FFA" w:rsidRDefault="00925FFA" w:rsidP="00925F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20"/>
          <w:szCs w:val="20"/>
        </w:rPr>
        <w:t xml:space="preserve"> Տե՛ս </w:t>
      </w:r>
      <w:r>
        <w:rPr>
          <w:rFonts w:ascii="Calibri" w:eastAsia="Calibri" w:hAnsi="Calibri" w:cs="Calibri"/>
          <w:sz w:val="22"/>
          <w:szCs w:val="22"/>
        </w:rPr>
        <w:t xml:space="preserve">«Ներդրումային և վերչուրային ֆոնդերի մասին» Ղազախստանի հանրապետության օրենքը հետևյալ հղմամբ՝ </w:t>
      </w:r>
      <w:r>
        <w:rPr>
          <w:rFonts w:ascii="Calibri" w:eastAsia="Calibri" w:hAnsi="Calibri" w:cs="Calibri"/>
          <w:sz w:val="20"/>
          <w:szCs w:val="20"/>
        </w:rPr>
        <w:t>https://online.zakon.kz/Document/?doc_id=1049233&amp;pos=5;-106#pos=5;-106</w:t>
      </w:r>
    </w:p>
  </w:footnote>
  <w:footnote w:id="2">
    <w:p w14:paraId="0DFF3DC1" w14:textId="77777777" w:rsidR="00925FFA" w:rsidRDefault="00925FFA" w:rsidP="00925F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Տե՛ս </w:t>
      </w:r>
      <w:r>
        <w:rPr>
          <w:rFonts w:ascii="Calibri" w:eastAsia="Calibri" w:hAnsi="Calibri" w:cs="Calibri"/>
          <w:sz w:val="22"/>
          <w:szCs w:val="22"/>
        </w:rPr>
        <w:t xml:space="preserve">«Կապիտալի շուկայի մասին» Մոլդովայի օրենքը հետևյալ հղմամբ՝ </w:t>
      </w:r>
      <w:r>
        <w:rPr>
          <w:rFonts w:ascii="Calibri" w:eastAsia="Calibri" w:hAnsi="Calibri" w:cs="Calibri"/>
          <w:sz w:val="20"/>
          <w:szCs w:val="20"/>
        </w:rPr>
        <w:t>https://www.legis.md/cautare/getResults?doc_id=145907&amp;lang=ru</w:t>
      </w:r>
    </w:p>
  </w:footnote>
  <w:footnote w:id="3">
    <w:p w14:paraId="13F0D003" w14:textId="77777777" w:rsidR="00925FFA" w:rsidRDefault="00925FFA" w:rsidP="00925F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Տե՛ս </w:t>
      </w:r>
      <w:r>
        <w:rPr>
          <w:rFonts w:ascii="Calibri" w:eastAsia="Calibri" w:hAnsi="Calibri" w:cs="Calibri"/>
          <w:sz w:val="22"/>
          <w:szCs w:val="22"/>
        </w:rPr>
        <w:t>Ֆրանսիայի դրամային և ֆինանսական օրենսգիրքը հետևյալ հղմամբ՝ https://www.legifrance.gouv.fr/codes/article_lc/LEGIARTI000049876640/2024-09-27</w:t>
      </w:r>
    </w:p>
  </w:footnote>
  <w:footnote w:id="4">
    <w:p w14:paraId="1868ADBA" w14:textId="77777777" w:rsidR="00925FFA" w:rsidRDefault="00925FFA" w:rsidP="00925FFA">
      <w:pPr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Տե՛ս </w:t>
      </w:r>
      <w:r>
        <w:rPr>
          <w:rFonts w:ascii="Calibri" w:eastAsia="Calibri" w:hAnsi="Calibri" w:cs="Calibri"/>
          <w:sz w:val="20"/>
          <w:szCs w:val="20"/>
        </w:rPr>
        <w:t xml:space="preserve">հետևյալ հղմամբ՝ </w:t>
      </w:r>
      <w:hyperlink r:id="rId1">
        <w:r>
          <w:rPr>
            <w:rFonts w:ascii="Roboto" w:eastAsia="Roboto" w:hAnsi="Roboto" w:cs="Roboto"/>
            <w:color w:val="0B57D0"/>
            <w:sz w:val="21"/>
            <w:szCs w:val="21"/>
            <w:highlight w:val="white"/>
          </w:rPr>
          <w:t>https://eur-lex.europa.eu/legal-content/EN/TXT/?uri=CELEX%3A02017R1129-20241204</w:t>
        </w:r>
      </w:hyperlink>
    </w:p>
  </w:footnote>
  <w:footnote w:id="5">
    <w:p w14:paraId="02DD799D" w14:textId="77777777" w:rsidR="00925FFA" w:rsidRDefault="00925FFA" w:rsidP="00925FFA">
      <w:pPr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Տե՛ս </w:t>
      </w:r>
      <w:r>
        <w:rPr>
          <w:rFonts w:ascii="Calibri" w:eastAsia="Calibri" w:hAnsi="Calibri" w:cs="Calibri"/>
          <w:sz w:val="20"/>
          <w:szCs w:val="20"/>
        </w:rPr>
        <w:t xml:space="preserve">հետևյալ հղմամբ՝ </w:t>
      </w:r>
      <w:hyperlink r:id="rId2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https://www.legifrance.gouv.fr/loda/article_lc/LEGIARTI000045359959/2025-03-21</w:t>
        </w:r>
      </w:hyperlink>
    </w:p>
    <w:p w14:paraId="058F22A1" w14:textId="77777777" w:rsidR="00925FFA" w:rsidRDefault="00925FFA" w:rsidP="00925FFA">
      <w:pPr>
        <w:rPr>
          <w:rFonts w:ascii="Calibri" w:eastAsia="Calibri" w:hAnsi="Calibri" w:cs="Calibri"/>
          <w:sz w:val="20"/>
          <w:szCs w:val="20"/>
        </w:rPr>
      </w:pPr>
      <w:hyperlink r:id="rId3" w:anchor=":~:text=Version%20en%20vigueur%20depuis%20le%2024%20d%C3%A9cembre%202021,-Modifi%C3%A9%20par%20Ordonnance&amp;text=1%C2%B0%20L'offre%20de,ou%20%C3%A0%20des%20investisseurs%20qualifi%C3%A9s.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https://www.legifrance.gouv.fr/codes/article_lc/LEGIARTI000044563789#:~:text=Version%20en%20vigueur%20depuis%20le%2024%20d%C3%A9cembre%202021,-Modifi%C3%A9%20par%20Ordonnance&amp;text=1%C2%B0%20L'offre%20de,ou%20%C3%A0%20des%20investisseurs%20qualifi%C3%A9s.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87BF9"/>
    <w:multiLevelType w:val="multilevel"/>
    <w:tmpl w:val="67A23E6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1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FA"/>
    <w:rsid w:val="00217663"/>
    <w:rsid w:val="00905D6E"/>
    <w:rsid w:val="009201DD"/>
    <w:rsid w:val="00925FFA"/>
    <w:rsid w:val="00985147"/>
    <w:rsid w:val="00C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69FE"/>
  <w15:chartTrackingRefBased/>
  <w15:docId w15:val="{5A0708A5-B35B-4946-9302-1687FE98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FA"/>
    <w:pPr>
      <w:spacing w:after="0" w:line="240" w:lineRule="auto"/>
    </w:pPr>
    <w:rPr>
      <w:rFonts w:ascii="Times New Roman" w:eastAsia="Times New Roman" w:hAnsi="Times New Roman" w:cs="Times New Roman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F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F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F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F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france.gouv.fr/codes/article_lc/LEGIARTI000044563789" TargetMode="External"/><Relationship Id="rId2" Type="http://schemas.openxmlformats.org/officeDocument/2006/relationships/hyperlink" Target="https://www.legifrance.gouv.fr/loda/article_lc/LEGIARTI000045359959/2025-03-21" TargetMode="External"/><Relationship Id="rId1" Type="http://schemas.openxmlformats.org/officeDocument/2006/relationships/hyperlink" Target="https://eur-lex.europa.eu/legal-content/EN/TXT/?uri=CELEX%3A02017R1129-20241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Vaghinak F. Khachatryan</dc:creator>
  <cp:keywords/>
  <dc:description/>
  <cp:lastModifiedBy>Vaghinak F. Khachatryan</cp:lastModifiedBy>
  <cp:revision>1</cp:revision>
  <dcterms:created xsi:type="dcterms:W3CDTF">2025-08-19T05:34:00Z</dcterms:created>
  <dcterms:modified xsi:type="dcterms:W3CDTF">2025-08-19T05:36:00Z</dcterms:modified>
</cp:coreProperties>
</file>