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D92D" w14:textId="77777777" w:rsidR="00E02EF3" w:rsidRPr="005179D6" w:rsidRDefault="00E02EF3" w:rsidP="00E02EF3">
      <w:pPr>
        <w:spacing w:line="276" w:lineRule="auto"/>
        <w:jc w:val="center"/>
        <w:rPr>
          <w:rFonts w:ascii="GHEA Grapalat" w:hAnsi="GHEA Grapalat"/>
          <w:b/>
          <w:lang w:val="hy-AM" w:eastAsia="en-US"/>
        </w:rPr>
      </w:pPr>
      <w:bookmarkStart w:id="0" w:name="OLE_LINK1"/>
      <w:r w:rsidRPr="005179D6">
        <w:rPr>
          <w:rFonts w:ascii="GHEA Grapalat" w:hAnsi="GHEA Grapalat"/>
          <w:b/>
          <w:lang w:val="hy-AM"/>
        </w:rPr>
        <w:t>ՀԻՄՆԱՎՈՐՈՒՄ</w:t>
      </w:r>
    </w:p>
    <w:p w14:paraId="5F3DF8C4" w14:textId="69D2D943" w:rsidR="0026553C" w:rsidRPr="00E02EF3" w:rsidRDefault="007E6D0F" w:rsidP="00E02EF3">
      <w:pPr>
        <w:pStyle w:val="NoSpacing"/>
        <w:jc w:val="center"/>
        <w:rPr>
          <w:rFonts w:eastAsia="Times New Roman" w:cs="Times Armenian"/>
          <w:b/>
          <w:sz w:val="24"/>
          <w:szCs w:val="24"/>
          <w:lang w:val="hy-AM" w:eastAsia="ru-RU"/>
        </w:rPr>
      </w:pPr>
      <w:r w:rsidRPr="005179D6">
        <w:rPr>
          <w:rFonts w:eastAsia="Times New Roman" w:cs="Times Armenian"/>
          <w:b/>
          <w:sz w:val="24"/>
          <w:szCs w:val="24"/>
          <w:lang w:val="hy-AM" w:eastAsia="ru-RU"/>
        </w:rPr>
        <w:t>ԲԱՆԿԵՐԻ ՎԵՐԱԿԱՌՈՒՑՄԱՆ ՄԱՍԻՆ</w:t>
      </w:r>
      <w:r w:rsidR="00E02EF3">
        <w:rPr>
          <w:rFonts w:eastAsia="Times New Roman" w:cs="Times Armenian"/>
          <w:b/>
          <w:sz w:val="24"/>
          <w:szCs w:val="24"/>
          <w:lang w:val="hy-AM" w:eastAsia="ru-RU"/>
        </w:rPr>
        <w:t xml:space="preserve"> </w:t>
      </w:r>
      <w:r w:rsidRPr="005179D6">
        <w:rPr>
          <w:rFonts w:cs="Times Armenian"/>
          <w:b/>
          <w:lang w:val="hy-AM"/>
        </w:rPr>
        <w:t xml:space="preserve">ՕՐԵՆՔԻ ԵՎ </w:t>
      </w:r>
      <w:r w:rsidR="00F539C5" w:rsidRPr="005179D6">
        <w:rPr>
          <w:rFonts w:cs="Times Armenian"/>
          <w:b/>
          <w:lang w:val="hy-AM"/>
        </w:rPr>
        <w:t xml:space="preserve">ՄԻ ՇԱՐՔ </w:t>
      </w:r>
      <w:r w:rsidRPr="005179D6">
        <w:rPr>
          <w:rFonts w:cs="Times Armenian"/>
          <w:b/>
          <w:lang w:val="hy-AM"/>
        </w:rPr>
        <w:t>ՀԱՐԱԿԻՑ</w:t>
      </w:r>
      <w:r w:rsidR="00F539C5" w:rsidRPr="005179D6">
        <w:rPr>
          <w:rFonts w:cs="Times Armenian"/>
          <w:b/>
          <w:lang w:val="hy-AM"/>
        </w:rPr>
        <w:t xml:space="preserve"> ՕՐԵՆՔՆԵՐՈՒՄ ՓՈՓՈԽՈՒԹՅՒՆՆԵՐ ԵՎ ԼՐԱՑՈՒՄՆԵՐ ԿԱՏԱՐԵԼՈՒ ՄԱՍԻՆ ՕՐԵՆՔՆԵՐԻ ՆԱԽԱԳԾԵՐԻ ՓԱԹԵԹԻ</w:t>
      </w:r>
      <w:r w:rsidRPr="005179D6">
        <w:rPr>
          <w:rFonts w:cs="Times Armenian"/>
          <w:b/>
          <w:lang w:val="hy-AM"/>
        </w:rPr>
        <w:t xml:space="preserve"> </w:t>
      </w:r>
    </w:p>
    <w:p w14:paraId="4DE4D7B4" w14:textId="77777777" w:rsidR="0026553C" w:rsidRPr="00155F29" w:rsidRDefault="0026553C" w:rsidP="00361201">
      <w:pPr>
        <w:tabs>
          <w:tab w:val="left" w:pos="90"/>
        </w:tabs>
        <w:spacing w:line="276" w:lineRule="auto"/>
        <w:ind w:right="23"/>
        <w:rPr>
          <w:rFonts w:ascii="GHEA Grapalat" w:hAnsi="GHEA Grapalat"/>
          <w:b/>
          <w:lang w:val="hy-AM"/>
        </w:rPr>
      </w:pPr>
    </w:p>
    <w:p w14:paraId="5F33F340" w14:textId="769303F0" w:rsidR="0026553C" w:rsidRPr="00197954" w:rsidRDefault="00197954" w:rsidP="00197954">
      <w:pPr>
        <w:pStyle w:val="ListParagraph"/>
        <w:tabs>
          <w:tab w:val="left" w:pos="720"/>
        </w:tabs>
        <w:spacing w:line="276" w:lineRule="auto"/>
        <w:ind w:left="630" w:right="23"/>
        <w:jc w:val="both"/>
        <w:rPr>
          <w:rFonts w:ascii="Cambria Math" w:hAnsi="Cambria Math" w:cs="Times Armenian"/>
          <w:lang w:val="pt-BR"/>
        </w:rPr>
      </w:pPr>
      <w:r>
        <w:rPr>
          <w:rFonts w:ascii="GHEA Grapalat" w:hAnsi="GHEA Grapalat"/>
          <w:b/>
          <w:lang w:val="hy-AM"/>
        </w:rPr>
        <w:t>1</w:t>
      </w:r>
      <w:r>
        <w:rPr>
          <w:rFonts w:ascii="Cambria Math" w:hAnsi="Cambria Math"/>
          <w:b/>
          <w:lang w:val="hy-AM"/>
        </w:rPr>
        <w:t xml:space="preserve">․  </w:t>
      </w:r>
      <w:r w:rsidR="0026553C" w:rsidRPr="00155F29">
        <w:rPr>
          <w:rFonts w:ascii="GHEA Grapalat" w:hAnsi="GHEA Grapalat"/>
          <w:b/>
          <w:lang w:val="hy-AM"/>
        </w:rPr>
        <w:t>Ի</w:t>
      </w:r>
      <w:r w:rsidR="0026553C" w:rsidRPr="00155F29">
        <w:rPr>
          <w:rFonts w:ascii="GHEA Grapalat" w:hAnsi="GHEA Grapalat"/>
          <w:b/>
          <w:lang w:val="pt-BR"/>
        </w:rPr>
        <w:t>րավական ակտերի ընդունման անհրաժեշտությունը</w:t>
      </w:r>
      <w:r>
        <w:rPr>
          <w:rFonts w:ascii="GHEA Grapalat" w:hAnsi="GHEA Grapalat"/>
          <w:b/>
          <w:lang w:val="pt-BR"/>
        </w:rPr>
        <w:t xml:space="preserve"> </w:t>
      </w:r>
      <w:r w:rsidRPr="00197954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նպատակը</w:t>
      </w:r>
      <w:r w:rsidRPr="00197954">
        <w:rPr>
          <w:rFonts w:ascii="GHEA Grapalat" w:hAnsi="GHEA Grapalat"/>
          <w:b/>
          <w:lang w:val="hy-AM"/>
        </w:rPr>
        <w:t>)</w:t>
      </w:r>
      <w:r>
        <w:rPr>
          <w:rFonts w:ascii="Cambria Math" w:hAnsi="Cambria Math"/>
          <w:b/>
          <w:lang w:val="hy-AM"/>
        </w:rPr>
        <w:t>․</w:t>
      </w:r>
    </w:p>
    <w:p w14:paraId="4DCE1850" w14:textId="18940D6F" w:rsidR="008F0E6E" w:rsidRDefault="008F0E6E" w:rsidP="008E7BD0">
      <w:pPr>
        <w:pStyle w:val="ListParagraph"/>
        <w:ind w:left="180" w:firstLine="45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Բանկերի վերակառուցման մասին օրենքի նախագծի և մի շարք օրենքներում փոփոխություններ և լրացումներ կատարելու մասին օրենքների նախագծերի ընդունման անհրաժեշտությունը բխում է </w:t>
      </w:r>
      <w:proofErr w:type="spellStart"/>
      <w:r>
        <w:rPr>
          <w:rFonts w:ascii="GHEA Grapalat" w:hAnsi="GHEA Grapalat"/>
          <w:bCs/>
          <w:lang w:val="hy-AM"/>
        </w:rPr>
        <w:t>դեռևս</w:t>
      </w:r>
      <w:proofErr w:type="spellEnd"/>
      <w:r>
        <w:rPr>
          <w:rFonts w:ascii="GHEA Grapalat" w:hAnsi="GHEA Grapalat"/>
          <w:bCs/>
          <w:lang w:val="hy-AM"/>
        </w:rPr>
        <w:t xml:space="preserve"> </w:t>
      </w:r>
      <w:r w:rsidRPr="00155F29">
        <w:rPr>
          <w:rFonts w:ascii="GHEA Grapalat" w:hAnsi="GHEA Grapalat"/>
          <w:bCs/>
          <w:lang w:val="hy-AM"/>
        </w:rPr>
        <w:t>2018 թվականին Համաշխարհային բանկի և Արժույթի միջազգային հիմնադրամի կողմից Ֆինանսական համակարգի գնահատման ծրագրի (FSAP) շրջանակում</w:t>
      </w:r>
      <w:r>
        <w:rPr>
          <w:rFonts w:ascii="GHEA Grapalat" w:hAnsi="GHEA Grapalat"/>
          <w:bCs/>
          <w:lang w:val="hy-AM"/>
        </w:rPr>
        <w:t xml:space="preserve"> ներկայացված առաջարկություններից, որոնց նպատակն է նախատեսել բավարար </w:t>
      </w:r>
      <w:proofErr w:type="spellStart"/>
      <w:r>
        <w:rPr>
          <w:rFonts w:ascii="GHEA Grapalat" w:hAnsi="GHEA Grapalat"/>
          <w:bCs/>
          <w:lang w:val="hy-AM"/>
        </w:rPr>
        <w:t>գործիքակազմ</w:t>
      </w:r>
      <w:proofErr w:type="spellEnd"/>
      <w:r>
        <w:rPr>
          <w:rFonts w:ascii="GHEA Grapalat" w:hAnsi="GHEA Grapalat"/>
          <w:bCs/>
          <w:lang w:val="hy-AM"/>
        </w:rPr>
        <w:t xml:space="preserve"> ֆինանսական համակարգում անվճարունակ բանկերի ֆինանսական վիճակի վերականգնման և առհասարակ ֆինանսական համակարգի կայունության ապահովման համար։ </w:t>
      </w:r>
    </w:p>
    <w:p w14:paraId="48401413" w14:textId="5DFB5989" w:rsidR="008F0E6E" w:rsidRDefault="008F0E6E" w:rsidP="008E7BD0">
      <w:pPr>
        <w:pStyle w:val="ListParagraph"/>
        <w:ind w:left="180" w:firstLine="450"/>
        <w:jc w:val="both"/>
        <w:rPr>
          <w:rFonts w:ascii="GHEA Grapalat" w:hAnsi="GHEA Grapalat"/>
          <w:bCs/>
          <w:lang w:val="hy-AM"/>
        </w:rPr>
      </w:pPr>
      <w:r w:rsidRPr="00155F29">
        <w:rPr>
          <w:rFonts w:ascii="GHEA Grapalat" w:hAnsi="GHEA Grapalat"/>
          <w:bCs/>
          <w:lang w:val="hy-AM"/>
        </w:rPr>
        <w:t xml:space="preserve">Մասնավորապես, </w:t>
      </w:r>
      <w:r>
        <w:rPr>
          <w:rFonts w:ascii="GHEA Grapalat" w:hAnsi="GHEA Grapalat"/>
          <w:bCs/>
          <w:lang w:val="hy-AM"/>
        </w:rPr>
        <w:t>տրվել է առաջարկություն</w:t>
      </w:r>
      <w:r>
        <w:rPr>
          <w:rStyle w:val="FootnoteReference"/>
          <w:rFonts w:ascii="GHEA Grapalat" w:hAnsi="GHEA Grapalat"/>
          <w:bCs/>
          <w:lang w:val="hy-AM"/>
        </w:rPr>
        <w:footnoteReference w:id="2"/>
      </w:r>
      <w:r>
        <w:rPr>
          <w:rFonts w:ascii="GHEA Grapalat" w:hAnsi="GHEA Grapalat"/>
          <w:bCs/>
          <w:lang w:val="hy-AM"/>
        </w:rPr>
        <w:t>, որով ընդգծվել է</w:t>
      </w:r>
      <w:r w:rsidRPr="00155F29">
        <w:rPr>
          <w:rFonts w:ascii="GHEA Grapalat" w:hAnsi="GHEA Grapalat"/>
          <w:bCs/>
          <w:lang w:val="hy-AM"/>
        </w:rPr>
        <w:t xml:space="preserve"> բանկերի վերակառուցման (առողջացման) (</w:t>
      </w:r>
      <w:proofErr w:type="spellStart"/>
      <w:r w:rsidRPr="00155F29">
        <w:rPr>
          <w:rFonts w:ascii="GHEA Grapalat" w:hAnsi="GHEA Grapalat"/>
          <w:bCs/>
          <w:lang w:val="hy-AM"/>
        </w:rPr>
        <w:t>bank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resolution</w:t>
      </w:r>
      <w:proofErr w:type="spellEnd"/>
      <w:r w:rsidRPr="00155F29">
        <w:rPr>
          <w:rFonts w:ascii="GHEA Grapalat" w:hAnsi="GHEA Grapalat"/>
          <w:bCs/>
          <w:lang w:val="hy-AM"/>
        </w:rPr>
        <w:t>) օրենսդրությունը Ֆինանսական կայունության խորհրդի (FSB) կողմից հաստատված «</w:t>
      </w:r>
      <w:proofErr w:type="spellStart"/>
      <w:r w:rsidR="004F5EEE">
        <w:fldChar w:fldCharType="begin"/>
      </w:r>
      <w:r w:rsidR="004F5EEE" w:rsidRPr="00A91816">
        <w:rPr>
          <w:lang w:val="hy-AM"/>
        </w:rPr>
        <w:instrText>HYPERLINK "http://www.fsb.org/wp-content/uploads/r_141015.pdf" \t "_blank"</w:instrText>
      </w:r>
      <w:r w:rsidR="004F5EEE">
        <w:fldChar w:fldCharType="separate"/>
      </w:r>
      <w:r w:rsidRPr="00155F29">
        <w:rPr>
          <w:rFonts w:ascii="GHEA Grapalat" w:hAnsi="GHEA Grapalat"/>
          <w:bCs/>
          <w:lang w:val="hy-AM"/>
        </w:rPr>
        <w:t>Key</w:t>
      </w:r>
      <w:proofErr w:type="spellEnd"/>
      <w:r w:rsidRPr="00155F29">
        <w:rPr>
          <w:rFonts w:ascii="Calibri" w:hAnsi="Calibri" w:cs="Calibri"/>
          <w:bCs/>
          <w:lang w:val="hy-AM"/>
        </w:rPr>
        <w:t> </w:t>
      </w:r>
      <w:proofErr w:type="spellStart"/>
      <w:r w:rsidRPr="00155F29">
        <w:rPr>
          <w:rFonts w:ascii="GHEA Grapalat" w:hAnsi="GHEA Grapalat"/>
          <w:bCs/>
          <w:lang w:val="hy-AM"/>
        </w:rPr>
        <w:t>Attributes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of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Effective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Resolution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Regimes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for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Financial</w:t>
      </w:r>
      <w:proofErr w:type="spellEnd"/>
      <w:r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155F29">
        <w:rPr>
          <w:rFonts w:ascii="GHEA Grapalat" w:hAnsi="GHEA Grapalat"/>
          <w:bCs/>
          <w:lang w:val="hy-AM"/>
        </w:rPr>
        <w:t>Institutions</w:t>
      </w:r>
      <w:proofErr w:type="spellEnd"/>
      <w:r w:rsidR="004F5EEE">
        <w:rPr>
          <w:rFonts w:ascii="GHEA Grapalat" w:hAnsi="GHEA Grapalat"/>
          <w:bCs/>
          <w:lang w:val="hy-AM"/>
        </w:rPr>
        <w:fldChar w:fldCharType="end"/>
      </w:r>
      <w:r w:rsidRPr="00155F29">
        <w:rPr>
          <w:rFonts w:ascii="GHEA Grapalat" w:hAnsi="GHEA Grapalat"/>
          <w:bCs/>
          <w:lang w:val="hy-AM"/>
        </w:rPr>
        <w:t>» միջազգային ստանդարտի պահանջներին համապատասխանեցնելու անհրաժեշտությունը:</w:t>
      </w:r>
      <w:r>
        <w:rPr>
          <w:rFonts w:ascii="GHEA Grapalat" w:hAnsi="GHEA Grapalat"/>
          <w:bCs/>
          <w:lang w:val="hy-AM"/>
        </w:rPr>
        <w:t xml:space="preserve"> Բացի այդ,</w:t>
      </w:r>
      <w:r w:rsidRPr="00FA35C7">
        <w:rPr>
          <w:rFonts w:ascii="GHEA Grapalat" w:hAnsi="GHEA Grapalat"/>
          <w:lang w:val="hy-AM"/>
        </w:rPr>
        <w:t xml:space="preserve"> </w:t>
      </w:r>
      <w:r w:rsidRPr="00155F29">
        <w:rPr>
          <w:rFonts w:ascii="GHEA Grapalat" w:hAnsi="GHEA Grapalat"/>
          <w:bCs/>
          <w:lang w:val="hy-AM"/>
        </w:rPr>
        <w:t xml:space="preserve">Արժույթի միջազգային հիմնադրամի </w:t>
      </w:r>
      <w:r>
        <w:rPr>
          <w:rFonts w:ascii="GHEA Grapalat" w:hAnsi="GHEA Grapalat"/>
          <w:lang w:val="hy-AM"/>
        </w:rPr>
        <w:t xml:space="preserve">հետ կնքված Տնտեսական և ֆինանսական </w:t>
      </w:r>
      <w:proofErr w:type="spellStart"/>
      <w:r>
        <w:rPr>
          <w:rFonts w:ascii="GHEA Grapalat" w:hAnsi="GHEA Grapalat"/>
          <w:lang w:val="hy-AM"/>
        </w:rPr>
        <w:t>քաղաքականությունների</w:t>
      </w:r>
      <w:proofErr w:type="spellEnd"/>
      <w:r>
        <w:rPr>
          <w:rFonts w:ascii="GHEA Grapalat" w:hAnsi="GHEA Grapalat"/>
          <w:lang w:val="hy-AM"/>
        </w:rPr>
        <w:t xml:space="preserve"> հուշագրում (</w:t>
      </w:r>
      <w:proofErr w:type="spellStart"/>
      <w:r>
        <w:rPr>
          <w:rFonts w:ascii="GHEA Grapalat" w:hAnsi="GHEA Grapalat"/>
          <w:lang w:val="hy-AM"/>
        </w:rPr>
        <w:t>Memorandum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of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Economic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and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Financial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Policies</w:t>
      </w:r>
      <w:proofErr w:type="spellEnd"/>
      <w:r>
        <w:rPr>
          <w:rFonts w:ascii="GHEA Grapalat" w:hAnsi="GHEA Grapalat"/>
          <w:lang w:val="hy-AM"/>
        </w:rPr>
        <w:t xml:space="preserve"> - MEFP) որպես կառուցվածքային հենանիշ է սահմանվել «Բանկերի վերակառուցման մասին» ՀՀ օրենքի նախագծի մշակումը</w:t>
      </w:r>
      <w:r w:rsidR="005552ED">
        <w:rPr>
          <w:rFonts w:ascii="GHEA Grapalat" w:hAnsi="GHEA Grapalat"/>
          <w:lang w:val="hy-AM"/>
        </w:rPr>
        <w:t xml:space="preserve">։ </w:t>
      </w:r>
    </w:p>
    <w:p w14:paraId="152B101F" w14:textId="77777777" w:rsidR="008E27A1" w:rsidRPr="00155F29" w:rsidRDefault="008E27A1" w:rsidP="00112138">
      <w:pPr>
        <w:pStyle w:val="ListParagraph"/>
        <w:ind w:left="90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bookmarkEnd w:id="0"/>
    <w:p w14:paraId="054D3870" w14:textId="62871FF2" w:rsidR="005552ED" w:rsidRDefault="00197954" w:rsidP="005552ED">
      <w:pPr>
        <w:pStyle w:val="ListParagraph"/>
        <w:tabs>
          <w:tab w:val="left" w:pos="900"/>
        </w:tabs>
        <w:ind w:left="900"/>
        <w:jc w:val="both"/>
        <w:rPr>
          <w:rFonts w:ascii="GHEA Grapalat" w:hAnsi="GHEA Grapalat"/>
          <w:lang w:val="hy-AM"/>
        </w:rPr>
      </w:pPr>
      <w:r w:rsidRPr="00197954">
        <w:rPr>
          <w:rFonts w:ascii="GHEA Grapalat" w:hAnsi="GHEA Grapalat" w:cs="Sylfaen"/>
          <w:b/>
          <w:lang w:val="fr-FR"/>
        </w:rPr>
        <w:t>2</w:t>
      </w:r>
      <w:proofErr w:type="gramStart"/>
      <w:r w:rsidRPr="00197954">
        <w:rPr>
          <w:rFonts w:ascii="Cambria Math" w:hAnsi="Cambria Math" w:cs="Sylfaen"/>
          <w:b/>
          <w:lang w:val="fr-FR"/>
        </w:rPr>
        <w:t>․</w:t>
      </w:r>
      <w:r>
        <w:rPr>
          <w:rFonts w:ascii="Cambria Math" w:hAnsi="Cambria Math" w:cs="Sylfaen"/>
          <w:b/>
          <w:lang w:val="fr-FR"/>
        </w:rPr>
        <w:t xml:space="preserve"> </w:t>
      </w:r>
      <w:r w:rsidRPr="00197954">
        <w:rPr>
          <w:rFonts w:ascii="Cambria Math" w:hAnsi="Cambria Math" w:cs="Sylfaen"/>
          <w:b/>
          <w:lang w:val="fr-FR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Ընթացիկ</w:t>
      </w:r>
      <w:proofErr w:type="gramEnd"/>
      <w:r w:rsidR="00015DDB" w:rsidRPr="00907465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իրավիճակը</w:t>
      </w:r>
      <w:r w:rsidR="00015DDB" w:rsidRPr="00907465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և</w:t>
      </w:r>
      <w:r w:rsidR="00015DDB" w:rsidRPr="00907465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խնդիրները</w:t>
      </w:r>
      <w:r w:rsidRPr="00197954">
        <w:rPr>
          <w:rFonts w:ascii="GHEA Grapalat" w:hAnsi="GHEA Grapalat" w:cs="Sylfaen"/>
          <w:b/>
          <w:lang w:val="fr-FR"/>
        </w:rPr>
        <w:t>.</w:t>
      </w:r>
      <w:r w:rsidR="00112138" w:rsidRPr="00197954">
        <w:rPr>
          <w:rFonts w:ascii="Calibri" w:hAnsi="Calibri" w:cs="Calibri"/>
          <w:color w:val="000000"/>
          <w:lang w:val="hy-AM"/>
        </w:rPr>
        <w:t> </w:t>
      </w:r>
      <w:r w:rsidR="00112138" w:rsidRPr="00197954">
        <w:rPr>
          <w:rFonts w:ascii="GHEA Grapalat" w:hAnsi="GHEA Grapalat"/>
          <w:lang w:val="hy-AM"/>
        </w:rPr>
        <w:t xml:space="preserve"> </w:t>
      </w:r>
      <w:r w:rsidR="00112138" w:rsidRPr="00197954">
        <w:rPr>
          <w:rFonts w:ascii="GHEA Grapalat" w:hAnsi="GHEA Grapalat"/>
          <w:lang w:val="hy-AM"/>
        </w:rPr>
        <w:tab/>
        <w:t xml:space="preserve"> </w:t>
      </w:r>
    </w:p>
    <w:p w14:paraId="7C5EFB8F" w14:textId="02D40B0F" w:rsidR="00A91816" w:rsidRDefault="00A91816" w:rsidP="00A91816">
      <w:pPr>
        <w:ind w:left="180" w:hanging="18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pt-BR"/>
        </w:rPr>
        <w:tab/>
      </w:r>
      <w:r w:rsidR="008E7BD0">
        <w:rPr>
          <w:rFonts w:ascii="GHEA Grapalat" w:hAnsi="GHEA Grapalat"/>
          <w:bCs/>
          <w:lang w:val="pt-BR"/>
        </w:rPr>
        <w:tab/>
      </w:r>
      <w:r w:rsidR="00015DDB" w:rsidRPr="005552ED">
        <w:rPr>
          <w:rFonts w:ascii="GHEA Grapalat" w:hAnsi="GHEA Grapalat"/>
          <w:bCs/>
          <w:lang w:val="pt-BR"/>
        </w:rPr>
        <w:t xml:space="preserve">Անվճարունակ </w:t>
      </w:r>
      <w:r w:rsidR="00015DDB" w:rsidRPr="005552ED">
        <w:rPr>
          <w:rFonts w:ascii="GHEA Grapalat" w:hAnsi="GHEA Grapalat"/>
          <w:bCs/>
          <w:lang w:val="hy-AM"/>
        </w:rPr>
        <w:t xml:space="preserve">բանկերի առողջացմանը վերաբերող իրավահարաբերությունները ներկայումս կարգավորվում են «Բանկերի, վարկային կազմակերպությունների, ներդրումային ընկերությունների, </w:t>
      </w:r>
      <w:proofErr w:type="spellStart"/>
      <w:r w:rsidR="00015DDB" w:rsidRPr="005552ED">
        <w:rPr>
          <w:rFonts w:ascii="GHEA Grapalat" w:hAnsi="GHEA Grapalat"/>
          <w:bCs/>
          <w:lang w:val="hy-AM"/>
        </w:rPr>
        <w:t>կրիպտոակտիվներով</w:t>
      </w:r>
      <w:proofErr w:type="spellEnd"/>
      <w:r w:rsidR="00015DDB" w:rsidRPr="005552ED">
        <w:rPr>
          <w:rFonts w:ascii="GHEA Grapalat" w:hAnsi="GHEA Grapalat"/>
          <w:bCs/>
          <w:lang w:val="hy-AM"/>
        </w:rPr>
        <w:t xml:space="preserve"> ծառայություններ մատուցող անձանց, ներդրումային ֆոնդի կառավարիչների և ապահովագրական ընկերությունների </w:t>
      </w:r>
      <w:proofErr w:type="spellStart"/>
      <w:r w:rsidR="00015DDB" w:rsidRPr="005552ED">
        <w:rPr>
          <w:rFonts w:ascii="GHEA Grapalat" w:hAnsi="GHEA Grapalat"/>
          <w:bCs/>
          <w:lang w:val="hy-AM"/>
        </w:rPr>
        <w:t>սնանկության</w:t>
      </w:r>
      <w:proofErr w:type="spellEnd"/>
      <w:r w:rsidR="00015DDB" w:rsidRPr="005552ED">
        <w:rPr>
          <w:rFonts w:ascii="GHEA Grapalat" w:hAnsi="GHEA Grapalat"/>
          <w:bCs/>
          <w:lang w:val="hy-AM"/>
        </w:rPr>
        <w:t xml:space="preserve"> մասին» Հայաստանի Հանրապետության օրենքով:</w:t>
      </w:r>
    </w:p>
    <w:p w14:paraId="1DE46C7D" w14:textId="77777777" w:rsidR="00A91816" w:rsidRDefault="005552ED" w:rsidP="00A91816">
      <w:pPr>
        <w:ind w:left="180"/>
        <w:jc w:val="both"/>
        <w:rPr>
          <w:rFonts w:ascii="GHEA Grapalat" w:hAnsi="GHEA Grapalat"/>
          <w:bCs/>
          <w:lang w:val="hy-AM"/>
        </w:rPr>
      </w:pPr>
      <w:r w:rsidRPr="005552ED">
        <w:rPr>
          <w:rFonts w:ascii="GHEA Grapalat" w:hAnsi="GHEA Grapalat"/>
          <w:bCs/>
          <w:lang w:val="hy-AM"/>
        </w:rPr>
        <w:t xml:space="preserve">Գործող կարգավորումը չի ապահովում համապատասխան </w:t>
      </w:r>
      <w:proofErr w:type="spellStart"/>
      <w:r w:rsidRPr="005552ED">
        <w:rPr>
          <w:rFonts w:ascii="GHEA Grapalat" w:hAnsi="GHEA Grapalat"/>
          <w:bCs/>
          <w:lang w:val="hy-AM"/>
        </w:rPr>
        <w:t>գործիքակազմ</w:t>
      </w:r>
      <w:proofErr w:type="spellEnd"/>
      <w:r w:rsidRPr="005552ED">
        <w:rPr>
          <w:rFonts w:ascii="GHEA Grapalat" w:hAnsi="GHEA Grapalat"/>
          <w:bCs/>
          <w:lang w:val="hy-AM"/>
        </w:rPr>
        <w:t xml:space="preserve"> (այդ թվում՝ վերակառուցման նախնական պլանավորում, վերակառուցման գործիքներ, անհրաժեշտ ֆինանսավորման մեխանիզմներ) </w:t>
      </w:r>
      <w:proofErr w:type="spellStart"/>
      <w:r w:rsidRPr="005552ED">
        <w:rPr>
          <w:rFonts w:ascii="GHEA Grapalat" w:hAnsi="GHEA Grapalat"/>
          <w:bCs/>
          <w:lang w:val="hy-AM"/>
        </w:rPr>
        <w:t>խնդրահարույց</w:t>
      </w:r>
      <w:proofErr w:type="spellEnd"/>
      <w:r w:rsidRPr="005552ED">
        <w:rPr>
          <w:rFonts w:ascii="GHEA Grapalat" w:hAnsi="GHEA Grapalat"/>
          <w:bCs/>
          <w:lang w:val="hy-AM"/>
        </w:rPr>
        <w:t xml:space="preserve"> բանկերի առողջացման կամ առանց </w:t>
      </w:r>
      <w:proofErr w:type="spellStart"/>
      <w:r w:rsidRPr="005552ED">
        <w:rPr>
          <w:rFonts w:ascii="GHEA Grapalat" w:hAnsi="GHEA Grapalat"/>
          <w:bCs/>
          <w:lang w:val="hy-AM"/>
        </w:rPr>
        <w:t>խաթարումներ</w:t>
      </w:r>
      <w:proofErr w:type="spellEnd"/>
      <w:r w:rsidRPr="005552ED">
        <w:rPr>
          <w:rFonts w:ascii="GHEA Grapalat" w:hAnsi="GHEA Grapalat"/>
          <w:bCs/>
          <w:lang w:val="hy-AM"/>
        </w:rPr>
        <w:t xml:space="preserve"> առաջացնելու ֆինանսական համակարգից արագ և արդյունավետ հեռացման համար:</w:t>
      </w:r>
    </w:p>
    <w:p w14:paraId="13209241" w14:textId="0B9EF3A1" w:rsidR="0065549D" w:rsidRPr="00197954" w:rsidRDefault="00A91816" w:rsidP="008E7BD0">
      <w:pPr>
        <w:ind w:left="180" w:firstLine="450"/>
        <w:jc w:val="both"/>
        <w:rPr>
          <w:rFonts w:ascii="GHEA Grapalat" w:hAnsi="GHEA Grapalat"/>
          <w:bCs/>
          <w:lang w:val="hy-AM"/>
        </w:rPr>
      </w:pPr>
      <w:r w:rsidRPr="00A91816">
        <w:rPr>
          <w:rFonts w:ascii="GHEA Grapalat" w:hAnsi="GHEA Grapalat"/>
          <w:bCs/>
          <w:lang w:val="hy-AM"/>
        </w:rPr>
        <w:t xml:space="preserve">Բանկերի առողջացման ներկայումս գործող կարգավորմամբ շարժվելու դեպքում հնարավոր չէ առանց ֆինանսական համակարգի համար համբավի </w:t>
      </w:r>
      <w:proofErr w:type="spellStart"/>
      <w:r w:rsidRPr="00A91816">
        <w:rPr>
          <w:rFonts w:ascii="GHEA Grapalat" w:hAnsi="GHEA Grapalat"/>
          <w:bCs/>
          <w:lang w:val="hy-AM"/>
        </w:rPr>
        <w:t>ռիսկեր</w:t>
      </w:r>
      <w:proofErr w:type="spellEnd"/>
      <w:r w:rsidRPr="00A91816">
        <w:rPr>
          <w:rFonts w:ascii="GHEA Grapalat" w:hAnsi="GHEA Grapalat"/>
          <w:bCs/>
          <w:lang w:val="hy-AM"/>
        </w:rPr>
        <w:t xml:space="preserve"> և էական </w:t>
      </w:r>
      <w:proofErr w:type="spellStart"/>
      <w:r w:rsidRPr="00A91816">
        <w:rPr>
          <w:rFonts w:ascii="GHEA Grapalat" w:hAnsi="GHEA Grapalat"/>
          <w:bCs/>
          <w:lang w:val="hy-AM"/>
        </w:rPr>
        <w:t>խաթարումներ</w:t>
      </w:r>
      <w:proofErr w:type="spellEnd"/>
      <w:r w:rsidRPr="00A91816">
        <w:rPr>
          <w:rFonts w:ascii="GHEA Grapalat" w:hAnsi="GHEA Grapalat"/>
          <w:bCs/>
          <w:lang w:val="hy-AM"/>
        </w:rPr>
        <w:t xml:space="preserve"> առաջացնելու </w:t>
      </w:r>
      <w:r w:rsidR="008E7BD0">
        <w:rPr>
          <w:rFonts w:ascii="GHEA Grapalat" w:hAnsi="GHEA Grapalat"/>
          <w:bCs/>
          <w:lang w:val="hy-AM"/>
        </w:rPr>
        <w:t>կարգավորել</w:t>
      </w:r>
      <w:r w:rsidRPr="00A91816">
        <w:rPr>
          <w:rFonts w:ascii="GHEA Grapalat" w:hAnsi="GHEA Grapalat"/>
          <w:bCs/>
          <w:lang w:val="hy-AM"/>
        </w:rPr>
        <w:t xml:space="preserve"> իրավիճակը: Մասնավորապես, ըստ գործող օրենքի՝ Կենտրոնական բանկի խորհրդի կողմից բանկին անվճարունակ ճանաչելու որոշման </w:t>
      </w:r>
      <w:proofErr w:type="spellStart"/>
      <w:r w:rsidRPr="00A91816">
        <w:rPr>
          <w:rFonts w:ascii="GHEA Grapalat" w:hAnsi="GHEA Grapalat"/>
          <w:bCs/>
          <w:lang w:val="hy-AM"/>
        </w:rPr>
        <w:t>կայացումից</w:t>
      </w:r>
      <w:proofErr w:type="spellEnd"/>
      <w:r w:rsidRPr="00A91816">
        <w:rPr>
          <w:rFonts w:ascii="GHEA Grapalat" w:hAnsi="GHEA Grapalat"/>
          <w:bCs/>
          <w:lang w:val="hy-AM"/>
        </w:rPr>
        <w:t xml:space="preserve"> հետո 6 ամսվա ընթացքում ադմինիստրացիայի ղեկավարը գնահատում է իրավիճակը և ԿԲ խորհրդի հաստատմանն է ներկայացնում բանկի առողջացման ծրագիրը , իսկ ադմինիստրացիայի գործունեության ընթացքում կարող է կիրառվել մորատորիում, որի </w:t>
      </w:r>
      <w:r w:rsidRPr="00A91816">
        <w:rPr>
          <w:rFonts w:ascii="GHEA Grapalat" w:hAnsi="GHEA Grapalat"/>
          <w:bCs/>
          <w:lang w:val="hy-AM"/>
        </w:rPr>
        <w:lastRenderedPageBreak/>
        <w:t xml:space="preserve">համար ողջամիտ սահմանափակող ժամկետ օրենքով սահմանված չէ: Համեմատության համար նշենք, որ միջազգային </w:t>
      </w:r>
      <w:proofErr w:type="spellStart"/>
      <w:r w:rsidRPr="00A91816">
        <w:rPr>
          <w:rFonts w:ascii="GHEA Grapalat" w:hAnsi="GHEA Grapalat"/>
          <w:bCs/>
          <w:lang w:val="hy-AM"/>
        </w:rPr>
        <w:t>պրակտիկայումբանկերի</w:t>
      </w:r>
      <w:proofErr w:type="spellEnd"/>
      <w:r w:rsidRPr="00A91816">
        <w:rPr>
          <w:rFonts w:ascii="GHEA Grapalat" w:hAnsi="GHEA Grapalat"/>
          <w:bCs/>
          <w:lang w:val="hy-AM"/>
        </w:rPr>
        <w:t xml:space="preserve"> վերակառուցման ծրագրերը կազմվում են նախապես, բանկերի բնականոն գործունեության ընթացքում, բանկերը վերակառուցվում են (հիմնական որոշումները կայացվում են) 2-3 օրվա ընթացքում, իսկ մորատորիում կարող է հայտարարվել հստակ ժամկետով:</w:t>
      </w:r>
      <w:r>
        <w:rPr>
          <w:rFonts w:ascii="GHEA Grapalat" w:hAnsi="GHEA Grapalat"/>
          <w:bCs/>
          <w:lang w:val="hy-AM"/>
        </w:rPr>
        <w:t xml:space="preserve"> </w:t>
      </w:r>
      <w:r w:rsidR="00112138" w:rsidRPr="00197954">
        <w:rPr>
          <w:rFonts w:ascii="GHEA Grapalat" w:hAnsi="GHEA Grapalat"/>
          <w:bCs/>
          <w:lang w:val="hy-AM"/>
        </w:rPr>
        <w:t>Բանկերի առողջացման (վերակառուցման (</w:t>
      </w:r>
      <w:proofErr w:type="spellStart"/>
      <w:r w:rsidR="00112138" w:rsidRPr="00197954">
        <w:rPr>
          <w:rFonts w:ascii="GHEA Grapalat" w:hAnsi="GHEA Grapalat"/>
          <w:bCs/>
          <w:lang w:val="hy-AM"/>
        </w:rPr>
        <w:t>bank</w:t>
      </w:r>
      <w:proofErr w:type="spellEnd"/>
      <w:r w:rsidR="00112138" w:rsidRPr="00197954">
        <w:rPr>
          <w:rFonts w:ascii="GHEA Grapalat" w:hAnsi="GHEA Grapalat"/>
          <w:bCs/>
          <w:lang w:val="hy-AM"/>
        </w:rPr>
        <w:t xml:space="preserve"> </w:t>
      </w:r>
      <w:proofErr w:type="spellStart"/>
      <w:r w:rsidR="00112138" w:rsidRPr="00197954">
        <w:rPr>
          <w:rFonts w:ascii="GHEA Grapalat" w:hAnsi="GHEA Grapalat"/>
          <w:bCs/>
          <w:lang w:val="hy-AM"/>
        </w:rPr>
        <w:t>resolution</w:t>
      </w:r>
      <w:proofErr w:type="spellEnd"/>
      <w:r w:rsidR="00112138" w:rsidRPr="00197954">
        <w:rPr>
          <w:rFonts w:ascii="GHEA Grapalat" w:hAnsi="GHEA Grapalat"/>
          <w:bCs/>
          <w:lang w:val="hy-AM"/>
        </w:rPr>
        <w:t xml:space="preserve">)) </w:t>
      </w:r>
      <w:proofErr w:type="spellStart"/>
      <w:r w:rsidR="00112138" w:rsidRPr="00197954">
        <w:rPr>
          <w:rFonts w:ascii="GHEA Grapalat" w:hAnsi="GHEA Grapalat"/>
          <w:bCs/>
          <w:lang w:val="hy-AM"/>
        </w:rPr>
        <w:t>oրենսդրական</w:t>
      </w:r>
      <w:proofErr w:type="spellEnd"/>
      <w:r w:rsidR="00112138" w:rsidRPr="00197954">
        <w:rPr>
          <w:rFonts w:ascii="GHEA Grapalat" w:hAnsi="GHEA Grapalat"/>
          <w:bCs/>
          <w:lang w:val="hy-AM"/>
        </w:rPr>
        <w:t xml:space="preserve"> դաշտն անհրաժեշտ է արդիականացնել և համապատասխանեցնել միջազգային ստանդարտներին: Միջազգային ստանդարտների </w:t>
      </w:r>
      <w:proofErr w:type="spellStart"/>
      <w:r w:rsidR="006039E6" w:rsidRPr="00197954">
        <w:rPr>
          <w:rFonts w:ascii="GHEA Grapalat" w:hAnsi="GHEA Grapalat"/>
          <w:bCs/>
          <w:lang w:val="hy-AM"/>
        </w:rPr>
        <w:t>ձևավորման</w:t>
      </w:r>
      <w:proofErr w:type="spellEnd"/>
      <w:r w:rsidR="006039E6" w:rsidRPr="00197954">
        <w:rPr>
          <w:rFonts w:ascii="GHEA Grapalat" w:hAnsi="GHEA Grapalat"/>
          <w:bCs/>
          <w:lang w:val="hy-AM"/>
        </w:rPr>
        <w:t xml:space="preserve"> </w:t>
      </w:r>
      <w:r w:rsidR="00112138" w:rsidRPr="00197954">
        <w:rPr>
          <w:rFonts w:ascii="GHEA Grapalat" w:hAnsi="GHEA Grapalat"/>
          <w:bCs/>
          <w:lang w:val="hy-AM"/>
        </w:rPr>
        <w:t>համար  հաշվի են առն</w:t>
      </w:r>
      <w:r w:rsidR="00DF6EC8" w:rsidRPr="00197954">
        <w:rPr>
          <w:rFonts w:ascii="GHEA Grapalat" w:hAnsi="GHEA Grapalat"/>
          <w:bCs/>
          <w:lang w:val="hy-AM"/>
        </w:rPr>
        <w:t>վ</w:t>
      </w:r>
      <w:r w:rsidR="00112138" w:rsidRPr="00197954">
        <w:rPr>
          <w:rFonts w:ascii="GHEA Grapalat" w:hAnsi="GHEA Grapalat"/>
          <w:bCs/>
          <w:lang w:val="hy-AM"/>
        </w:rPr>
        <w:t xml:space="preserve">ել վերջին տասնամյակում  </w:t>
      </w:r>
      <w:r w:rsidR="0089748C" w:rsidRPr="00197954">
        <w:rPr>
          <w:rFonts w:ascii="GHEA Grapalat" w:hAnsi="GHEA Grapalat"/>
          <w:bCs/>
          <w:lang w:val="hy-AM"/>
        </w:rPr>
        <w:t>օտարերկրյա</w:t>
      </w:r>
      <w:r w:rsidR="008C4DF0" w:rsidRPr="00197954">
        <w:rPr>
          <w:rFonts w:ascii="GHEA Grapalat" w:hAnsi="GHEA Grapalat"/>
          <w:bCs/>
          <w:lang w:val="hy-AM"/>
        </w:rPr>
        <w:t xml:space="preserve"> </w:t>
      </w:r>
      <w:r w:rsidR="00112138" w:rsidRPr="00197954">
        <w:rPr>
          <w:rFonts w:ascii="GHEA Grapalat" w:hAnsi="GHEA Grapalat"/>
          <w:bCs/>
          <w:lang w:val="hy-AM"/>
        </w:rPr>
        <w:t xml:space="preserve">բանկերի լուծարման և </w:t>
      </w:r>
      <w:r w:rsidR="009B4296" w:rsidRPr="00197954">
        <w:rPr>
          <w:rFonts w:ascii="GHEA Grapalat" w:hAnsi="GHEA Grapalat"/>
          <w:bCs/>
          <w:lang w:val="hy-AM"/>
        </w:rPr>
        <w:t>վերակառուցման (</w:t>
      </w:r>
      <w:r w:rsidR="00112138" w:rsidRPr="00197954">
        <w:rPr>
          <w:rFonts w:ascii="GHEA Grapalat" w:hAnsi="GHEA Grapalat"/>
          <w:bCs/>
          <w:lang w:val="hy-AM"/>
        </w:rPr>
        <w:t>առողջացման</w:t>
      </w:r>
      <w:r w:rsidR="009B4296" w:rsidRPr="00197954">
        <w:rPr>
          <w:rFonts w:ascii="GHEA Grapalat" w:hAnsi="GHEA Grapalat"/>
          <w:bCs/>
          <w:lang w:val="hy-AM"/>
        </w:rPr>
        <w:t>)</w:t>
      </w:r>
      <w:r w:rsidR="00112138" w:rsidRPr="00197954">
        <w:rPr>
          <w:rFonts w:ascii="GHEA Grapalat" w:hAnsi="GHEA Grapalat"/>
          <w:bCs/>
          <w:lang w:val="hy-AM"/>
        </w:rPr>
        <w:t xml:space="preserve"> փաստացի դեպքերը, այդ գործընթացներում առաջացած խնդիրները և դրանցից քաղած դասերը: </w:t>
      </w:r>
      <w:proofErr w:type="spellStart"/>
      <w:r w:rsidR="00112138" w:rsidRPr="00197954">
        <w:rPr>
          <w:rFonts w:ascii="GHEA Grapalat" w:hAnsi="GHEA Grapalat"/>
          <w:bCs/>
          <w:lang w:val="hy-AM"/>
        </w:rPr>
        <w:t>Հետևաբար</w:t>
      </w:r>
      <w:proofErr w:type="spellEnd"/>
      <w:r w:rsidR="00112138" w:rsidRPr="00197954">
        <w:rPr>
          <w:rFonts w:ascii="GHEA Grapalat" w:hAnsi="GHEA Grapalat"/>
          <w:bCs/>
          <w:lang w:val="hy-AM"/>
        </w:rPr>
        <w:t>,</w:t>
      </w:r>
      <w:r w:rsidR="006B6163" w:rsidRPr="00197954">
        <w:rPr>
          <w:rFonts w:ascii="GHEA Grapalat" w:hAnsi="GHEA Grapalat"/>
          <w:bCs/>
          <w:lang w:val="hy-AM"/>
        </w:rPr>
        <w:t xml:space="preserve"> </w:t>
      </w:r>
      <w:r w:rsidR="006B6163" w:rsidRPr="00A91816">
        <w:rPr>
          <w:rFonts w:ascii="GHEA Grapalat" w:hAnsi="GHEA Grapalat"/>
          <w:bCs/>
          <w:lang w:val="hy-AM"/>
        </w:rPr>
        <w:t>ճգնաժամերի կառավարման արդյունավետ մեխանիզմներ</w:t>
      </w:r>
      <w:r w:rsidR="00112138" w:rsidRPr="00197954">
        <w:rPr>
          <w:rFonts w:ascii="GHEA Grapalat" w:hAnsi="GHEA Grapalat"/>
          <w:bCs/>
          <w:lang w:val="hy-AM"/>
        </w:rPr>
        <w:t xml:space="preserve"> </w:t>
      </w:r>
      <w:r w:rsidR="006B6163" w:rsidRPr="00197954">
        <w:rPr>
          <w:rFonts w:ascii="GHEA Grapalat" w:hAnsi="GHEA Grapalat"/>
          <w:bCs/>
          <w:lang w:val="hy-AM"/>
        </w:rPr>
        <w:t>ունենալու համար</w:t>
      </w:r>
      <w:r w:rsidR="00112138" w:rsidRPr="00197954">
        <w:rPr>
          <w:rFonts w:ascii="GHEA Grapalat" w:hAnsi="GHEA Grapalat"/>
          <w:bCs/>
          <w:lang w:val="hy-AM"/>
        </w:rPr>
        <w:t xml:space="preserve"> անհրաժեշտ է վերանայել </w:t>
      </w:r>
      <w:r w:rsidR="006B6163" w:rsidRPr="00197954">
        <w:rPr>
          <w:rFonts w:ascii="GHEA Grapalat" w:hAnsi="GHEA Grapalat"/>
          <w:bCs/>
          <w:lang w:val="hy-AM"/>
        </w:rPr>
        <w:t xml:space="preserve">ՀՀ օրենսդրական դաշտը, </w:t>
      </w:r>
      <w:r w:rsidR="00112138" w:rsidRPr="00197954">
        <w:rPr>
          <w:rFonts w:ascii="GHEA Grapalat" w:hAnsi="GHEA Grapalat"/>
          <w:bCs/>
          <w:lang w:val="hy-AM"/>
        </w:rPr>
        <w:t xml:space="preserve">և ներդնել ժամանակի </w:t>
      </w:r>
      <w:proofErr w:type="spellStart"/>
      <w:r w:rsidR="00112138" w:rsidRPr="00197954">
        <w:rPr>
          <w:rFonts w:ascii="GHEA Grapalat" w:hAnsi="GHEA Grapalat"/>
          <w:bCs/>
          <w:lang w:val="hy-AM"/>
        </w:rPr>
        <w:t>մարտահրավերները</w:t>
      </w:r>
      <w:proofErr w:type="spellEnd"/>
      <w:r w:rsidR="00112138" w:rsidRPr="00197954">
        <w:rPr>
          <w:rFonts w:ascii="GHEA Grapalat" w:hAnsi="GHEA Grapalat"/>
          <w:bCs/>
          <w:lang w:val="hy-AM"/>
        </w:rPr>
        <w:t xml:space="preserve"> հասցեագրող </w:t>
      </w:r>
      <w:proofErr w:type="spellStart"/>
      <w:r w:rsidR="00112138" w:rsidRPr="00197954">
        <w:rPr>
          <w:rFonts w:ascii="GHEA Grapalat" w:hAnsi="GHEA Grapalat"/>
          <w:bCs/>
          <w:lang w:val="hy-AM"/>
        </w:rPr>
        <w:t>կարգավորումներ</w:t>
      </w:r>
      <w:proofErr w:type="spellEnd"/>
      <w:r w:rsidR="00112138" w:rsidRPr="00197954">
        <w:rPr>
          <w:rFonts w:ascii="GHEA Grapalat" w:hAnsi="GHEA Grapalat"/>
          <w:bCs/>
          <w:lang w:val="hy-AM"/>
        </w:rPr>
        <w:t>:</w:t>
      </w:r>
    </w:p>
    <w:p w14:paraId="33FE4C46" w14:textId="77777777" w:rsidR="0065549D" w:rsidRPr="0065549D" w:rsidRDefault="0065549D" w:rsidP="0065549D">
      <w:pPr>
        <w:pStyle w:val="ListParagraph"/>
        <w:tabs>
          <w:tab w:val="left" w:pos="900"/>
        </w:tabs>
        <w:ind w:left="900"/>
        <w:jc w:val="both"/>
        <w:rPr>
          <w:rFonts w:ascii="GHEA Grapalat" w:hAnsi="GHEA Grapalat"/>
          <w:bCs/>
          <w:lang w:val="hy-AM"/>
        </w:rPr>
      </w:pPr>
    </w:p>
    <w:p w14:paraId="3793AAA2" w14:textId="563DA6B8" w:rsidR="00197954" w:rsidRPr="00015DDB" w:rsidRDefault="00197954" w:rsidP="00015DDB">
      <w:pPr>
        <w:spacing w:line="360" w:lineRule="auto"/>
        <w:ind w:firstLine="630"/>
        <w:jc w:val="both"/>
        <w:rPr>
          <w:rFonts w:ascii="GHEA Grapalat" w:hAnsi="GHEA Grapalat"/>
          <w:b/>
          <w:bCs/>
          <w:color w:val="000000"/>
          <w:lang w:val="fr-FR"/>
        </w:rPr>
      </w:pPr>
      <w:r>
        <w:rPr>
          <w:rFonts w:ascii="GHEA Grapalat" w:hAnsi="GHEA Grapalat" w:cs="Sylfaen"/>
          <w:b/>
          <w:lang w:val="hy-AM"/>
        </w:rPr>
        <w:t>3</w:t>
      </w:r>
      <w:r>
        <w:rPr>
          <w:rFonts w:ascii="Cambria Math" w:hAnsi="Cambria Math" w:cs="Sylfaen"/>
          <w:b/>
          <w:lang w:val="hy-AM"/>
        </w:rPr>
        <w:t xml:space="preserve">․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Կարգավորման</w:t>
      </w:r>
      <w:r w:rsidR="00015DDB" w:rsidRPr="00907465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նպատակը</w:t>
      </w:r>
      <w:r w:rsidR="00015DDB" w:rsidRPr="00907465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և</w:t>
      </w:r>
      <w:r w:rsidR="00015DDB" w:rsidRPr="00907465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015DDB" w:rsidRPr="00907465">
        <w:rPr>
          <w:rFonts w:ascii="GHEA Grapalat" w:hAnsi="GHEA Grapalat"/>
          <w:b/>
          <w:bCs/>
          <w:color w:val="000000"/>
          <w:lang w:val="hy-AM"/>
        </w:rPr>
        <w:t>բնույթը</w:t>
      </w:r>
    </w:p>
    <w:p w14:paraId="4A44873C" w14:textId="4F8F9D4F" w:rsidR="003D25CE" w:rsidRPr="00155F29" w:rsidRDefault="00A91816" w:rsidP="00A91816">
      <w:pPr>
        <w:tabs>
          <w:tab w:val="left" w:pos="810"/>
        </w:tabs>
        <w:jc w:val="both"/>
        <w:rPr>
          <w:rFonts w:ascii="GHEA Grapalat" w:hAnsi="GHEA Grapalat"/>
          <w:bCs/>
          <w:lang w:val="hy-AM"/>
        </w:rPr>
      </w:pPr>
      <w:r>
        <w:rPr>
          <w:rFonts w:ascii="GHEA Grapalat" w:eastAsiaTheme="minorHAnsi" w:hAnsi="GHEA Grapalat" w:cstheme="minorBidi"/>
          <w:bCs/>
          <w:lang w:val="hy-AM"/>
        </w:rPr>
        <w:tab/>
      </w:r>
      <w:r w:rsidR="003D25CE" w:rsidRPr="00155F29">
        <w:rPr>
          <w:rFonts w:ascii="GHEA Grapalat" w:eastAsiaTheme="minorHAnsi" w:hAnsi="GHEA Grapalat" w:cstheme="minorBidi"/>
          <w:bCs/>
          <w:lang w:val="hy-AM"/>
        </w:rPr>
        <w:t>Օրենսդրական փո</w:t>
      </w:r>
      <w:r w:rsidR="00544F35">
        <w:rPr>
          <w:rFonts w:ascii="GHEA Grapalat" w:eastAsiaTheme="minorHAnsi" w:hAnsi="GHEA Grapalat" w:cstheme="minorBidi"/>
          <w:bCs/>
          <w:lang w:val="hy-AM"/>
        </w:rPr>
        <w:t>փո</w:t>
      </w:r>
      <w:r w:rsidR="003D25CE" w:rsidRPr="00155F29">
        <w:rPr>
          <w:rFonts w:ascii="GHEA Grapalat" w:eastAsiaTheme="minorHAnsi" w:hAnsi="GHEA Grapalat" w:cstheme="minorBidi"/>
          <w:bCs/>
          <w:lang w:val="hy-AM"/>
        </w:rPr>
        <w:t>խու</w:t>
      </w:r>
      <w:r w:rsidR="00544F35">
        <w:rPr>
          <w:rFonts w:ascii="GHEA Grapalat" w:eastAsiaTheme="minorHAnsi" w:hAnsi="GHEA Grapalat" w:cstheme="minorBidi"/>
          <w:bCs/>
          <w:lang w:val="hy-AM"/>
        </w:rPr>
        <w:t>թյուն</w:t>
      </w:r>
      <w:r w:rsidR="003D25CE" w:rsidRPr="00155F29">
        <w:rPr>
          <w:rFonts w:ascii="GHEA Grapalat" w:eastAsiaTheme="minorHAnsi" w:hAnsi="GHEA Grapalat" w:cstheme="minorBidi"/>
          <w:bCs/>
          <w:lang w:val="hy-AM"/>
        </w:rPr>
        <w:t>ների փաթեթով</w:t>
      </w:r>
      <w:r w:rsidR="003D25CE" w:rsidRPr="00155F29">
        <w:rPr>
          <w:rFonts w:ascii="GHEA Grapalat" w:hAnsi="GHEA Grapalat"/>
          <w:bCs/>
          <w:lang w:val="hy-AM"/>
        </w:rPr>
        <w:t xml:space="preserve">՝ </w:t>
      </w:r>
    </w:p>
    <w:p w14:paraId="0C2F788E" w14:textId="77777777" w:rsidR="00A91816" w:rsidRDefault="00544F35" w:rsidP="00A91816">
      <w:pPr>
        <w:pStyle w:val="ListParagraph"/>
        <w:numPr>
          <w:ilvl w:val="0"/>
          <w:numId w:val="24"/>
        </w:numPr>
        <w:ind w:left="180" w:firstLine="36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>
        <w:rPr>
          <w:rFonts w:ascii="GHEA Grapalat" w:eastAsiaTheme="minorHAnsi" w:hAnsi="GHEA Grapalat" w:cstheme="minorBidi"/>
          <w:bCs/>
          <w:lang w:val="hy-AM" w:eastAsia="en-US"/>
        </w:rPr>
        <w:t>Ներդրվում է բանկերի վերակառուցման ինստիտուտը</w:t>
      </w:r>
      <w:r w:rsidR="000E7799">
        <w:rPr>
          <w:rFonts w:ascii="GHEA Grapalat" w:eastAsiaTheme="minorHAnsi" w:hAnsi="GHEA Grapalat" w:cstheme="minorBidi"/>
          <w:bCs/>
          <w:lang w:val="hy-AM" w:eastAsia="en-US"/>
        </w:rPr>
        <w:t>,</w:t>
      </w:r>
      <w:r w:rsidR="00B02236">
        <w:rPr>
          <w:rFonts w:ascii="GHEA Grapalat" w:eastAsiaTheme="minorHAnsi" w:hAnsi="GHEA Grapalat" w:cstheme="minorBidi"/>
          <w:bCs/>
          <w:lang w:val="hy-AM" w:eastAsia="en-US"/>
        </w:rPr>
        <w:t xml:space="preserve"> իսկ բանկերին վերակառուցելու բացառիկ իրավասությունը վերապահվել է </w:t>
      </w:r>
      <w:r w:rsidR="003D25CE" w:rsidRPr="00155F29">
        <w:rPr>
          <w:rFonts w:ascii="GHEA Grapalat" w:eastAsiaTheme="minorHAnsi" w:hAnsi="GHEA Grapalat" w:cstheme="minorBidi"/>
          <w:bCs/>
          <w:lang w:val="hy-AM" w:eastAsia="en-US"/>
        </w:rPr>
        <w:t>Կենտրոնական բանկին</w:t>
      </w:r>
      <w:r w:rsidR="00B02236">
        <w:rPr>
          <w:rFonts w:ascii="GHEA Grapalat" w:eastAsiaTheme="minorHAnsi" w:hAnsi="GHEA Grapalat" w:cstheme="minorBidi"/>
          <w:bCs/>
          <w:lang w:val="hy-AM" w:eastAsia="en-US"/>
        </w:rPr>
        <w:t>։</w:t>
      </w:r>
      <w:r w:rsidR="00A93358">
        <w:rPr>
          <w:rFonts w:ascii="GHEA Grapalat" w:eastAsiaTheme="minorHAnsi" w:hAnsi="GHEA Grapalat" w:cstheme="minorBidi"/>
          <w:bCs/>
          <w:lang w:val="hy-AM" w:eastAsia="en-US"/>
        </w:rPr>
        <w:t xml:space="preserve"> Վերակառուցում իրականացնելու համար Կենտրոնական բանկին օրենքով տրվում են իրավասություններ, որոնք հնարավորություն կտան հասնել վերակառուցման նպատակներին։ </w:t>
      </w:r>
    </w:p>
    <w:p w14:paraId="221F3977" w14:textId="547E4BD1" w:rsidR="00A91816" w:rsidRPr="00A91816" w:rsidRDefault="00B02236" w:rsidP="00A91816">
      <w:pPr>
        <w:pStyle w:val="ListParagraph"/>
        <w:numPr>
          <w:ilvl w:val="0"/>
          <w:numId w:val="24"/>
        </w:numPr>
        <w:ind w:left="180" w:firstLine="36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A91816">
        <w:rPr>
          <w:rFonts w:ascii="GHEA Grapalat" w:eastAsiaTheme="minorHAnsi" w:hAnsi="GHEA Grapalat" w:cstheme="minorBidi"/>
          <w:bCs/>
          <w:lang w:val="hy-AM" w:eastAsia="en-US"/>
        </w:rPr>
        <w:t xml:space="preserve">Սահմանվել են այն հիմնարար նպատակները, որոնց հասնելու համար Կենտրոնական բանկը, որպես վերակառուցման լիազոր մարմին, կարող է բանկին վերակառուցելու որոշում կայացնել։ Մասնավորապես, դրանք են՝ ֆինանսական կայունության ապահովումը, բանկի կրիտիկական գործունեության (գործառնության) </w:t>
      </w:r>
      <w:proofErr w:type="spellStart"/>
      <w:r w:rsidRPr="00A91816">
        <w:rPr>
          <w:rFonts w:ascii="GHEA Grapalat" w:eastAsiaTheme="minorHAnsi" w:hAnsi="GHEA Grapalat" w:cstheme="minorBidi"/>
          <w:bCs/>
          <w:lang w:val="hy-AM" w:eastAsia="en-US"/>
        </w:rPr>
        <w:t>անընդհատության</w:t>
      </w:r>
      <w:proofErr w:type="spellEnd"/>
      <w:r w:rsidRPr="00A91816">
        <w:rPr>
          <w:rFonts w:ascii="GHEA Grapalat" w:eastAsiaTheme="minorHAnsi" w:hAnsi="GHEA Grapalat" w:cstheme="minorBidi"/>
          <w:bCs/>
          <w:lang w:val="hy-AM" w:eastAsia="en-US"/>
        </w:rPr>
        <w:t xml:space="preserve"> ապահովումը, պետական միջոցների պաշտպանությունը՝ նվազեցնելով պետական արտակարգ աջակցություն ստանալու անհրաժեշտությունը: </w:t>
      </w:r>
    </w:p>
    <w:p w14:paraId="098457A9" w14:textId="3523B0C8" w:rsidR="00A91816" w:rsidRDefault="00A93358" w:rsidP="00A91816">
      <w:pPr>
        <w:pStyle w:val="ListParagraph"/>
        <w:numPr>
          <w:ilvl w:val="0"/>
          <w:numId w:val="24"/>
        </w:numPr>
        <w:spacing w:after="120" w:line="276" w:lineRule="auto"/>
        <w:ind w:left="90" w:firstLine="45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A91816">
        <w:rPr>
          <w:rFonts w:ascii="GHEA Grapalat" w:eastAsiaTheme="minorHAnsi" w:hAnsi="GHEA Grapalat" w:cstheme="minorBidi"/>
          <w:bCs/>
          <w:lang w:val="hy-AM" w:eastAsia="en-US"/>
        </w:rPr>
        <w:t>Սահմանվել են այն սկզբունքները, որո</w:t>
      </w:r>
      <w:r w:rsidR="000E7799" w:rsidRPr="00A91816">
        <w:rPr>
          <w:rFonts w:ascii="GHEA Grapalat" w:eastAsiaTheme="minorHAnsi" w:hAnsi="GHEA Grapalat" w:cstheme="minorBidi"/>
          <w:bCs/>
          <w:lang w:val="hy-AM" w:eastAsia="en-US"/>
        </w:rPr>
        <w:t>նցո</w:t>
      </w:r>
      <w:r w:rsidRPr="00A91816">
        <w:rPr>
          <w:rFonts w:ascii="GHEA Grapalat" w:eastAsiaTheme="minorHAnsi" w:hAnsi="GHEA Grapalat" w:cstheme="minorBidi"/>
          <w:bCs/>
          <w:lang w:val="hy-AM" w:eastAsia="en-US"/>
        </w:rPr>
        <w:t>վ անհրաժեշտ է առաջնորդվել բանկե</w:t>
      </w:r>
      <w:r w:rsidR="000E7799" w:rsidRPr="00A91816">
        <w:rPr>
          <w:rFonts w:ascii="GHEA Grapalat" w:eastAsiaTheme="minorHAnsi" w:hAnsi="GHEA Grapalat" w:cstheme="minorBidi"/>
          <w:bCs/>
          <w:lang w:val="hy-AM" w:eastAsia="en-US"/>
        </w:rPr>
        <w:t>ր</w:t>
      </w:r>
      <w:r w:rsidRPr="00A91816">
        <w:rPr>
          <w:rFonts w:ascii="GHEA Grapalat" w:eastAsiaTheme="minorHAnsi" w:hAnsi="GHEA Grapalat" w:cstheme="minorBidi"/>
          <w:bCs/>
          <w:lang w:val="hy-AM" w:eastAsia="en-US"/>
        </w:rPr>
        <w:t>ի վերակառուց</w:t>
      </w:r>
      <w:r w:rsidR="000E7799" w:rsidRPr="00A91816">
        <w:rPr>
          <w:rFonts w:ascii="GHEA Grapalat" w:eastAsiaTheme="minorHAnsi" w:hAnsi="GHEA Grapalat" w:cstheme="minorBidi"/>
          <w:bCs/>
          <w:lang w:val="hy-AM" w:eastAsia="en-US"/>
        </w:rPr>
        <w:t xml:space="preserve">ումն </w:t>
      </w:r>
      <w:proofErr w:type="spellStart"/>
      <w:r w:rsidR="000E7799" w:rsidRPr="00A91816">
        <w:rPr>
          <w:rFonts w:ascii="GHEA Grapalat" w:eastAsiaTheme="minorHAnsi" w:hAnsi="GHEA Grapalat" w:cstheme="minorBidi"/>
          <w:bCs/>
          <w:lang w:val="hy-AM" w:eastAsia="en-US"/>
        </w:rPr>
        <w:t>իրականցնելիս</w:t>
      </w:r>
      <w:proofErr w:type="spellEnd"/>
      <w:r w:rsidRPr="00A91816">
        <w:rPr>
          <w:rFonts w:ascii="GHEA Grapalat" w:eastAsiaTheme="minorHAnsi" w:hAnsi="GHEA Grapalat" w:cstheme="minorBidi"/>
          <w:bCs/>
          <w:lang w:val="hy-AM" w:eastAsia="en-US"/>
        </w:rPr>
        <w:t xml:space="preserve">։ Օրինակ, Կենտրոնական բանկի կողմից օրենքի նախագծով  սահմանված վերակառուցման գործիքների, ինչպես նաև այլ իրավասությունների կիրառման համար չի պահանջվում վերակառուցվող բանկի, վերակառուցվող բանկի մասնակիցների, պարտատերերի, հաճախորդների և այլ անձանց համաձայնությունը, կամ բանկի վերակառուցման գործընթացում ավանդատուների երաշխավորված բանկային ավանդները՝ «Ֆիզիկական անձանց բանկային ավանդների հատուցումը երաշխավորելու մասին»  օրենքով սահմանված հատուցման չափով պաշտպանված են և այլն։ </w:t>
      </w:r>
      <w:r w:rsidR="00B02236" w:rsidRPr="00A91816">
        <w:rPr>
          <w:rFonts w:ascii="GHEA Grapalat" w:eastAsiaTheme="minorHAnsi" w:hAnsi="GHEA Grapalat" w:cstheme="minorBidi"/>
          <w:bCs/>
          <w:lang w:val="hy-AM" w:eastAsia="en-US"/>
        </w:rPr>
        <w:t xml:space="preserve">  </w:t>
      </w:r>
    </w:p>
    <w:p w14:paraId="0DD3AEDC" w14:textId="061FB58B" w:rsidR="00A57959" w:rsidRPr="00A91816" w:rsidRDefault="00A57959" w:rsidP="00A91816">
      <w:pPr>
        <w:pStyle w:val="ListParagraph"/>
        <w:numPr>
          <w:ilvl w:val="0"/>
          <w:numId w:val="24"/>
        </w:numPr>
        <w:spacing w:after="120" w:line="276" w:lineRule="auto"/>
        <w:ind w:left="180" w:firstLine="36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A91816">
        <w:rPr>
          <w:rFonts w:ascii="GHEA Grapalat" w:eastAsiaTheme="minorHAnsi" w:hAnsi="GHEA Grapalat" w:cstheme="minorBidi"/>
          <w:bCs/>
          <w:lang w:val="hy-AM" w:eastAsia="en-US"/>
        </w:rPr>
        <w:t>Ներդրվում են բանկերը վերակառուցելու գործիքները՝ բանկի վաճառքի գործիքը, կամուրջ բանկի գործիքը, ակտիվների առանձնացման գործիքը, ներքին աջակցության գործիքը և դրանց կիրառման մեխանիզմները:</w:t>
      </w:r>
    </w:p>
    <w:p w14:paraId="4204D7B2" w14:textId="30F94BB7" w:rsidR="003D25CE" w:rsidRDefault="00A93358" w:rsidP="00A91816">
      <w:pPr>
        <w:pStyle w:val="ListParagraph"/>
        <w:numPr>
          <w:ilvl w:val="0"/>
          <w:numId w:val="24"/>
        </w:numPr>
        <w:ind w:left="180" w:firstLine="72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>
        <w:rPr>
          <w:rFonts w:ascii="GHEA Grapalat" w:eastAsiaTheme="minorHAnsi" w:hAnsi="GHEA Grapalat" w:cstheme="minorBidi"/>
          <w:bCs/>
          <w:lang w:val="hy-AM" w:eastAsia="en-US"/>
        </w:rPr>
        <w:t xml:space="preserve">Օրենքով սահմանվել է </w:t>
      </w:r>
      <w:proofErr w:type="spellStart"/>
      <w:r>
        <w:rPr>
          <w:rFonts w:ascii="GHEA Grapalat" w:eastAsiaTheme="minorHAnsi" w:hAnsi="GHEA Grapalat" w:cstheme="minorBidi"/>
          <w:bCs/>
          <w:lang w:val="hy-AM" w:eastAsia="en-US"/>
        </w:rPr>
        <w:t>վերակառուցող</w:t>
      </w:r>
      <w:proofErr w:type="spellEnd"/>
      <w:r>
        <w:rPr>
          <w:rFonts w:ascii="GHEA Grapalat" w:eastAsiaTheme="minorHAnsi" w:hAnsi="GHEA Grapalat" w:cstheme="minorBidi"/>
          <w:bCs/>
          <w:lang w:val="hy-AM" w:eastAsia="en-US"/>
        </w:rPr>
        <w:t xml:space="preserve"> մարմնի կողմից վերակառուցման ծրագիր</w:t>
      </w:r>
      <w:r w:rsidR="00A91816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>
        <w:rPr>
          <w:rFonts w:ascii="GHEA Grapalat" w:eastAsiaTheme="minorHAnsi" w:hAnsi="GHEA Grapalat" w:cstheme="minorBidi"/>
          <w:bCs/>
          <w:lang w:val="hy-AM" w:eastAsia="en-US"/>
        </w:rPr>
        <w:t>մշակելու պահանջը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>,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 որի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նպատակն է 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 xml:space="preserve">բացահայտել և վաղ փուլում հասցեագրել  </w:t>
      </w:r>
      <w:r w:rsidR="00A57959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բանկերի լուծարման կամ վերակառուցման 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 xml:space="preserve">հնարավոր </w:t>
      </w:r>
      <w:r w:rsidR="00A57959" w:rsidRPr="00155F29">
        <w:rPr>
          <w:rFonts w:ascii="GHEA Grapalat" w:eastAsiaTheme="minorHAnsi" w:hAnsi="GHEA Grapalat" w:cstheme="minorBidi"/>
          <w:bCs/>
          <w:lang w:val="hy-AM" w:eastAsia="en-US"/>
        </w:rPr>
        <w:t>խոչընդոտները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>, իսկ բանկի վերակառուցման հիմքերի առաջացման դեպքում</w:t>
      </w:r>
      <w:r w:rsidR="000E7799">
        <w:rPr>
          <w:rFonts w:ascii="GHEA Grapalat" w:eastAsiaTheme="minorHAnsi" w:hAnsi="GHEA Grapalat" w:cstheme="minorBidi"/>
          <w:bCs/>
          <w:lang w:val="hy-AM" w:eastAsia="en-US"/>
        </w:rPr>
        <w:t>՝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 xml:space="preserve"> կազմակերպել և ապահովել բանկի վերակառուցման ողջ գործընթացը։ </w:t>
      </w:r>
      <w:r w:rsidR="003D25CE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</w:p>
    <w:p w14:paraId="7B6F0F4A" w14:textId="2346D662" w:rsidR="000D21CE" w:rsidRPr="00155F29" w:rsidRDefault="000D21CE" w:rsidP="00A91816">
      <w:pPr>
        <w:pStyle w:val="ListParagraph"/>
        <w:numPr>
          <w:ilvl w:val="0"/>
          <w:numId w:val="24"/>
        </w:numPr>
        <w:tabs>
          <w:tab w:val="left" w:pos="630"/>
        </w:tabs>
        <w:ind w:left="630" w:firstLine="27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proofErr w:type="spellStart"/>
      <w:r>
        <w:rPr>
          <w:rFonts w:ascii="GHEA Grapalat" w:eastAsiaTheme="minorHAnsi" w:hAnsi="GHEA Grapalat" w:cstheme="minorBidi"/>
          <w:bCs/>
          <w:lang w:val="hy-AM" w:eastAsia="en-US"/>
        </w:rPr>
        <w:lastRenderedPageBreak/>
        <w:t>Խնդրահարույց</w:t>
      </w:r>
      <w:proofErr w:type="spellEnd"/>
      <w:r>
        <w:rPr>
          <w:rFonts w:ascii="GHEA Grapalat" w:eastAsiaTheme="minorHAnsi" w:hAnsi="GHEA Grapalat" w:cstheme="minorBidi"/>
          <w:bCs/>
          <w:lang w:val="hy-AM" w:eastAsia="en-US"/>
        </w:rPr>
        <w:t xml:space="preserve"> բանկերի կորուստները կլանելու և կապիտալը համալրելու</w:t>
      </w:r>
      <w:r w:rsidR="00A91816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նպատակով ներդրվում է </w:t>
      </w:r>
      <w:r w:rsidR="000E7799">
        <w:rPr>
          <w:rFonts w:ascii="GHEA Grapalat" w:eastAsiaTheme="minorHAnsi" w:hAnsi="GHEA Grapalat" w:cstheme="minorBidi"/>
          <w:bCs/>
          <w:lang w:val="hy-AM" w:eastAsia="en-US"/>
        </w:rPr>
        <w:t xml:space="preserve">Կենտրոնական բանկի կողմից 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կապիտալի գործիքների դուրսգրման և փոխարկման </w:t>
      </w:r>
      <w:r w:rsidR="00A57959">
        <w:rPr>
          <w:rFonts w:ascii="GHEA Grapalat" w:eastAsiaTheme="minorHAnsi" w:hAnsi="GHEA Grapalat" w:cstheme="minorBidi"/>
          <w:bCs/>
          <w:lang w:val="hy-AM" w:eastAsia="en-US"/>
        </w:rPr>
        <w:t xml:space="preserve">հնարավորությունն ու </w:t>
      </w:r>
      <w:r>
        <w:rPr>
          <w:rFonts w:ascii="GHEA Grapalat" w:eastAsiaTheme="minorHAnsi" w:hAnsi="GHEA Grapalat" w:cstheme="minorBidi"/>
          <w:bCs/>
          <w:lang w:val="hy-AM" w:eastAsia="en-US"/>
        </w:rPr>
        <w:t>իրավասությունը:</w:t>
      </w:r>
    </w:p>
    <w:p w14:paraId="33B8BE59" w14:textId="77777777" w:rsidR="002939FE" w:rsidRPr="002939FE" w:rsidRDefault="00A93358" w:rsidP="002939FE">
      <w:pPr>
        <w:pStyle w:val="ListParagraph"/>
        <w:numPr>
          <w:ilvl w:val="0"/>
          <w:numId w:val="24"/>
        </w:numPr>
        <w:tabs>
          <w:tab w:val="left" w:pos="300"/>
          <w:tab w:val="left" w:pos="810"/>
        </w:tabs>
        <w:ind w:left="630" w:firstLine="27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Նախագծով </w:t>
      </w:r>
      <w:proofErr w:type="spellStart"/>
      <w:r w:rsidRPr="002939FE">
        <w:rPr>
          <w:rFonts w:ascii="GHEA Grapalat" w:eastAsiaTheme="minorHAnsi" w:hAnsi="GHEA Grapalat" w:cstheme="minorBidi"/>
          <w:bCs/>
          <w:lang w:val="hy-AM" w:eastAsia="en-US"/>
        </w:rPr>
        <w:t>ներդրվել</w:t>
      </w:r>
      <w:proofErr w:type="spellEnd"/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են որոշակի պաշտպանական մեխանիզմներ։ Մասնավո</w:t>
      </w:r>
      <w:r w:rsidR="002939FE" w:rsidRPr="002939FE">
        <w:rPr>
          <w:rFonts w:ascii="GHEA Grapalat" w:eastAsiaTheme="minorHAnsi" w:hAnsi="GHEA Grapalat" w:cstheme="minorBidi"/>
          <w:bCs/>
          <w:lang w:val="hy-AM" w:eastAsia="en-US"/>
        </w:rPr>
        <w:t>ր</w:t>
      </w:r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ապես, սահմանվել է, որ  </w:t>
      </w:r>
      <w:r w:rsidR="002939FE"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եթե բանկի վերակառուցման արդյունքում վերակառուցվող բանկի </w:t>
      </w:r>
      <w:proofErr w:type="spellStart"/>
      <w:r w:rsidR="002939FE" w:rsidRPr="002939FE">
        <w:rPr>
          <w:rFonts w:ascii="GHEA Grapalat" w:eastAsiaTheme="minorHAnsi" w:hAnsi="GHEA Grapalat" w:cstheme="minorBidi"/>
          <w:bCs/>
          <w:lang w:val="hy-AM" w:eastAsia="en-US"/>
        </w:rPr>
        <w:t>որևէ</w:t>
      </w:r>
      <w:proofErr w:type="spellEnd"/>
      <w:r w:rsidR="002939FE"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մասնակից կամ պարտատեր կրի ավելի մեծ վնաս, քան կկրեր վերակառուցվող բանկի՝ օրենսդրությամբ սահմանված կարգով լուծարման դեպքում, ապա վնասը փոխհատուցվում է</w:t>
      </w:r>
      <w:r w:rsidR="002939FE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="002939FE" w:rsidRPr="002939FE">
        <w:rPr>
          <w:rFonts w:ascii="GHEA Grapalat" w:eastAsiaTheme="minorHAnsi" w:hAnsi="GHEA Grapalat" w:cstheme="minorBidi"/>
          <w:bCs/>
          <w:lang w:val="hy-AM" w:eastAsia="en-US"/>
        </w:rPr>
        <w:t>օրենք</w:t>
      </w:r>
      <w:r w:rsidR="002939FE">
        <w:rPr>
          <w:rFonts w:ascii="GHEA Grapalat" w:eastAsiaTheme="minorHAnsi" w:hAnsi="GHEA Grapalat" w:cstheme="minorBidi"/>
          <w:bCs/>
          <w:lang w:val="hy-AM" w:eastAsia="en-US"/>
        </w:rPr>
        <w:t>ի նախագծ</w:t>
      </w:r>
      <w:r w:rsidR="002939FE" w:rsidRPr="002939FE">
        <w:rPr>
          <w:rFonts w:ascii="GHEA Grapalat" w:eastAsiaTheme="minorHAnsi" w:hAnsi="GHEA Grapalat" w:cstheme="minorBidi"/>
          <w:bCs/>
          <w:lang w:val="hy-AM" w:eastAsia="en-US"/>
        </w:rPr>
        <w:t>ով սահմանված կարգով</w:t>
      </w:r>
      <w:r w:rsidR="002939FE">
        <w:rPr>
          <w:rFonts w:ascii="Cambria Math" w:eastAsiaTheme="minorHAnsi" w:hAnsi="Cambria Math" w:cs="Cambria Math"/>
          <w:bCs/>
          <w:lang w:val="hy-AM" w:eastAsia="en-US"/>
        </w:rPr>
        <w:t>։</w:t>
      </w:r>
    </w:p>
    <w:p w14:paraId="5D103F68" w14:textId="3AB0EEFB" w:rsidR="00C775DA" w:rsidRDefault="002939FE" w:rsidP="002939FE">
      <w:pPr>
        <w:pStyle w:val="ListParagraph"/>
        <w:numPr>
          <w:ilvl w:val="0"/>
          <w:numId w:val="24"/>
        </w:numPr>
        <w:tabs>
          <w:tab w:val="left" w:pos="300"/>
          <w:tab w:val="left" w:pos="810"/>
        </w:tabs>
        <w:ind w:left="630" w:firstLine="27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2939FE">
        <w:rPr>
          <w:rFonts w:ascii="GHEA Grapalat" w:eastAsiaTheme="minorHAnsi" w:hAnsi="GHEA Grapalat" w:cstheme="minorBidi"/>
          <w:bCs/>
          <w:lang w:val="hy-AM" w:eastAsia="en-US"/>
        </w:rPr>
        <w:t>Նախատեսվել է կարգավորում</w:t>
      </w:r>
      <w:r w:rsidR="000E7799">
        <w:rPr>
          <w:rFonts w:ascii="GHEA Grapalat" w:eastAsiaTheme="minorHAnsi" w:hAnsi="GHEA Grapalat" w:cstheme="minorBidi"/>
          <w:bCs/>
          <w:lang w:val="hy-AM" w:eastAsia="en-US"/>
        </w:rPr>
        <w:t>՝</w:t>
      </w:r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վերակառուցման գործընթացի ֆինանսավորումն ապահովելու նպատակով։ Մասնավորապես, </w:t>
      </w:r>
      <w:r w:rsidR="000E7799">
        <w:rPr>
          <w:rFonts w:ascii="GHEA Grapalat" w:eastAsiaTheme="minorHAnsi" w:hAnsi="GHEA Grapalat" w:cstheme="minorBidi"/>
          <w:bCs/>
          <w:lang w:val="hy-AM" w:eastAsia="en-US"/>
        </w:rPr>
        <w:t>վ</w:t>
      </w:r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երակառուցման գործընթացի ֆինանսավորման նպատակով ստեղծվում է Վերակառուցման հիմնադրամ, որը </w:t>
      </w:r>
      <w:proofErr w:type="spellStart"/>
      <w:r w:rsidRPr="002939FE">
        <w:rPr>
          <w:rFonts w:ascii="GHEA Grapalat" w:eastAsiaTheme="minorHAnsi" w:hAnsi="GHEA Grapalat" w:cstheme="minorBidi"/>
          <w:bCs/>
          <w:lang w:val="hy-AM" w:eastAsia="en-US"/>
        </w:rPr>
        <w:t>ձևավորվելու</w:t>
      </w:r>
      <w:proofErr w:type="spellEnd"/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է բանկերի կողմից կատարվող միանվագ, պարբերական և լրացուցիչ հատկացումների հաշվին: Ֆոնդին հատկացումներ կատարելու են ՀՀ բոլոր </w:t>
      </w:r>
      <w:proofErr w:type="spellStart"/>
      <w:r w:rsidRPr="002939FE">
        <w:rPr>
          <w:rFonts w:ascii="GHEA Grapalat" w:eastAsiaTheme="minorHAnsi" w:hAnsi="GHEA Grapalat" w:cstheme="minorBidi"/>
          <w:bCs/>
          <w:lang w:val="hy-AM" w:eastAsia="en-US"/>
        </w:rPr>
        <w:t>առևտրային</w:t>
      </w:r>
      <w:proofErr w:type="spellEnd"/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բանկերը: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Առաջնորդվելով միջազգային լավագույն փորձով, ինչպես նաև կատարելով վերլուծություն հայաստանյան բանկային համակարգում՝ վերակառուցման ֆոնդի </w:t>
      </w:r>
      <w:proofErr w:type="spellStart"/>
      <w:r w:rsidRPr="002939FE">
        <w:rPr>
          <w:rFonts w:ascii="GHEA Grapalat" w:eastAsiaTheme="minorHAnsi" w:hAnsi="GHEA Grapalat" w:cstheme="minorBidi"/>
          <w:bCs/>
          <w:lang w:val="hy-AM" w:eastAsia="en-US"/>
        </w:rPr>
        <w:t>թիրախային</w:t>
      </w:r>
      <w:proofErr w:type="spellEnd"/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մակարդակ է սահմանվել Հայաստանի Հանրապետությունում գործող բոլոր բանկերի ընդհանուր պարտավորությունների հանրագումարի առնվազն 0,5%-ը, որին հասնելու ժամկետը կազմում  է 10 տարի՝ օրենքը ուժի մեջ մտնելուց հետո։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Pr="002939FE">
        <w:rPr>
          <w:rFonts w:ascii="GHEA Grapalat" w:eastAsiaTheme="minorHAnsi" w:hAnsi="GHEA Grapalat" w:cstheme="minorBidi"/>
          <w:bCs/>
          <w:lang w:val="hy-AM" w:eastAsia="en-US"/>
        </w:rPr>
        <w:t>Հարկ ենք համարում նշել, որ միջազգային պրակտիկայում համանման ցուցանիշը տատանվում է 0.5-3%:</w:t>
      </w:r>
      <w:r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Նախագծի համաձայն՝ բանկերը կատարում են եռամսյակային պարբերական վճար նախորդ եռամսյակի վերջին օրվա դրությամբ տվյալ բանկի ակտիվների  </w:t>
      </w:r>
      <w:proofErr w:type="spellStart"/>
      <w:r w:rsidRPr="002939FE">
        <w:rPr>
          <w:rFonts w:ascii="GHEA Grapalat" w:eastAsiaTheme="minorHAnsi" w:hAnsi="GHEA Grapalat" w:cstheme="minorBidi"/>
          <w:bCs/>
          <w:lang w:val="hy-AM" w:eastAsia="en-US"/>
        </w:rPr>
        <w:t>մինչև</w:t>
      </w:r>
      <w:proofErr w:type="spellEnd"/>
      <w:r w:rsidRPr="002939FE">
        <w:rPr>
          <w:rFonts w:ascii="GHEA Grapalat" w:eastAsiaTheme="minorHAnsi" w:hAnsi="GHEA Grapalat" w:cstheme="minorBidi"/>
          <w:bCs/>
          <w:lang w:val="hy-AM" w:eastAsia="en-US"/>
        </w:rPr>
        <w:t xml:space="preserve"> 0,1 տոկոսի չափով:</w:t>
      </w:r>
      <w:r w:rsidR="00C775DA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Տվյալ մեծությունը ընտրվել է՝ հաշվի առնելով նաև Ավանդների </w:t>
      </w:r>
      <w:proofErr w:type="spellStart"/>
      <w:r w:rsidRPr="00C775DA">
        <w:rPr>
          <w:rFonts w:ascii="GHEA Grapalat" w:eastAsiaTheme="minorHAnsi" w:hAnsi="GHEA Grapalat" w:cstheme="minorBidi"/>
          <w:bCs/>
          <w:lang w:val="hy-AM" w:eastAsia="en-US"/>
        </w:rPr>
        <w:t>Երաշխավորման</w:t>
      </w:r>
      <w:proofErr w:type="spellEnd"/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 Հիմն</w:t>
      </w:r>
      <w:r w:rsidR="0014458F">
        <w:rPr>
          <w:rFonts w:ascii="GHEA Grapalat" w:eastAsiaTheme="minorHAnsi" w:hAnsi="GHEA Grapalat" w:cstheme="minorBidi"/>
          <w:bCs/>
          <w:lang w:val="hy-AM" w:eastAsia="en-US"/>
        </w:rPr>
        <w:t>ա</w:t>
      </w:r>
      <w:r w:rsidRPr="00C775DA">
        <w:rPr>
          <w:rFonts w:ascii="GHEA Grapalat" w:eastAsiaTheme="minorHAnsi" w:hAnsi="GHEA Grapalat" w:cstheme="minorBidi"/>
          <w:bCs/>
          <w:lang w:val="hy-AM" w:eastAsia="en-US"/>
        </w:rPr>
        <w:t>դրամին կատարվող հատկացումները և բանկերի ընդհանուր ֆինանսական բեռը:</w:t>
      </w:r>
      <w:r w:rsidR="00C775DA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Ընդ որում՝ Կենտրոնական բանկի խորհուրդը կարող է տարբեր բանկերի համար սահմանել տարբերակված պարբերական վճարներ՝ կախված առանձին բանկի </w:t>
      </w:r>
      <w:proofErr w:type="spellStart"/>
      <w:r w:rsidRPr="00C775DA">
        <w:rPr>
          <w:rFonts w:ascii="GHEA Grapalat" w:eastAsiaTheme="minorHAnsi" w:hAnsi="GHEA Grapalat" w:cstheme="minorBidi"/>
          <w:bCs/>
          <w:lang w:val="hy-AM" w:eastAsia="en-US"/>
        </w:rPr>
        <w:t>ռիսկայնության</w:t>
      </w:r>
      <w:proofErr w:type="spellEnd"/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 մակարդակից՝ ըստ Կենտրոնական բանկի խորհրդի սահմանած չափանիշների:</w:t>
      </w:r>
    </w:p>
    <w:p w14:paraId="76F1690A" w14:textId="77777777" w:rsidR="00C775DA" w:rsidRDefault="002939FE" w:rsidP="00C775DA">
      <w:pPr>
        <w:tabs>
          <w:tab w:val="left" w:pos="300"/>
          <w:tab w:val="left" w:pos="810"/>
        </w:tabs>
        <w:ind w:left="63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Ռիսկերի վրա հիմնված մոտեցման կիրառումը թույլ կտա ավելի արդարացի բաշխել ֆինանսական բեռը համակարգի մասնակիցների </w:t>
      </w:r>
      <w:proofErr w:type="spellStart"/>
      <w:r w:rsidRPr="00C775DA">
        <w:rPr>
          <w:rFonts w:ascii="GHEA Grapalat" w:eastAsiaTheme="minorHAnsi" w:hAnsi="GHEA Grapalat" w:cstheme="minorBidi"/>
          <w:bCs/>
          <w:lang w:val="hy-AM" w:eastAsia="en-US"/>
        </w:rPr>
        <w:t>միջև</w:t>
      </w:r>
      <w:proofErr w:type="spellEnd"/>
      <w:r w:rsidRPr="00C775DA">
        <w:rPr>
          <w:rFonts w:ascii="GHEA Grapalat" w:eastAsiaTheme="minorHAnsi" w:hAnsi="GHEA Grapalat" w:cstheme="minorBidi"/>
          <w:bCs/>
          <w:lang w:val="hy-AM" w:eastAsia="en-US"/>
        </w:rPr>
        <w:t>:</w:t>
      </w:r>
      <w:r w:rsidR="00C775DA">
        <w:rPr>
          <w:rFonts w:ascii="GHEA Grapalat" w:eastAsiaTheme="minorHAnsi" w:hAnsi="GHEA Grapalat" w:cstheme="minorBidi"/>
          <w:bCs/>
          <w:lang w:val="hy-AM" w:eastAsia="en-US"/>
        </w:rPr>
        <w:br/>
      </w:r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Նախագծով նախատեսվում են նաև վերակառուցման հիմնադրամի ֆինանսավորման այլ մեխանիզմներ, այդ թվում՝ Ֆինանսների նախարարության կողմից բյուջետային վարկերի կամ երաշխիքների տրամադրում (բացառիկ դեպքերում): Վերակառուցման գործընթացում սահմանափակ ծավալով կարող է օգտագործվել նաև Ավանդների հատուցումը երաշխավորող հիմնադրամի միջոցները, պայմանով, որ ապահովվելու է ավանդատուների համար երաշխավորված ավանդների </w:t>
      </w:r>
      <w:proofErr w:type="spellStart"/>
      <w:r w:rsidRPr="00C775DA">
        <w:rPr>
          <w:rFonts w:ascii="GHEA Grapalat" w:eastAsiaTheme="minorHAnsi" w:hAnsi="GHEA Grapalat" w:cstheme="minorBidi"/>
          <w:bCs/>
          <w:lang w:val="hy-AM" w:eastAsia="en-US"/>
        </w:rPr>
        <w:t>հասանելիությունը</w:t>
      </w:r>
      <w:proofErr w:type="spellEnd"/>
      <w:r w:rsidRPr="00C775DA">
        <w:rPr>
          <w:rFonts w:ascii="GHEA Grapalat" w:eastAsiaTheme="minorHAnsi" w:hAnsi="GHEA Grapalat" w:cstheme="minorBidi"/>
          <w:bCs/>
          <w:lang w:val="hy-AM" w:eastAsia="en-US"/>
        </w:rPr>
        <w:t xml:space="preserve">: </w:t>
      </w:r>
    </w:p>
    <w:p w14:paraId="0986EC7F" w14:textId="77777777" w:rsidR="00C775DA" w:rsidRDefault="00C775DA" w:rsidP="00C775DA">
      <w:pPr>
        <w:tabs>
          <w:tab w:val="left" w:pos="300"/>
          <w:tab w:val="left" w:pos="810"/>
        </w:tabs>
        <w:ind w:left="63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4EC01D66" w14:textId="0847B09E" w:rsidR="003D25CE" w:rsidRPr="00C775DA" w:rsidRDefault="00A91816" w:rsidP="00C775DA">
      <w:pPr>
        <w:tabs>
          <w:tab w:val="left" w:pos="300"/>
          <w:tab w:val="left" w:pos="810"/>
        </w:tabs>
        <w:ind w:left="630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>
        <w:rPr>
          <w:rFonts w:ascii="GHEA Grapalat" w:eastAsiaTheme="minorHAnsi" w:hAnsi="GHEA Grapalat" w:cstheme="minorBidi"/>
          <w:bCs/>
          <w:lang w:val="hy-AM" w:eastAsia="en-US"/>
        </w:rPr>
        <w:t>Ն</w:t>
      </w:r>
      <w:r w:rsidR="00745AF1" w:rsidRPr="00155F29">
        <w:rPr>
          <w:rFonts w:ascii="GHEA Grapalat" w:eastAsiaTheme="minorHAnsi" w:hAnsi="GHEA Grapalat" w:cstheme="minorBidi"/>
          <w:bCs/>
          <w:lang w:val="hy-AM" w:eastAsia="en-US"/>
        </w:rPr>
        <w:t>ախագծ</w:t>
      </w:r>
      <w:r w:rsidR="002939FE">
        <w:rPr>
          <w:rFonts w:ascii="GHEA Grapalat" w:eastAsiaTheme="minorHAnsi" w:hAnsi="GHEA Grapalat" w:cstheme="minorBidi"/>
          <w:bCs/>
          <w:lang w:val="hy-AM" w:eastAsia="en-US"/>
        </w:rPr>
        <w:t xml:space="preserve">ով առաջարկվող այլ </w:t>
      </w:r>
      <w:proofErr w:type="spellStart"/>
      <w:r w:rsidR="002939FE">
        <w:rPr>
          <w:rFonts w:ascii="GHEA Grapalat" w:eastAsiaTheme="minorHAnsi" w:hAnsi="GHEA Grapalat" w:cstheme="minorBidi"/>
          <w:bCs/>
          <w:lang w:val="hy-AM" w:eastAsia="en-US"/>
        </w:rPr>
        <w:t>կարգավորումները</w:t>
      </w:r>
      <w:proofErr w:type="spellEnd"/>
      <w:r w:rsidR="00745AF1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 մշակվել </w:t>
      </w:r>
      <w:r w:rsidR="002939FE">
        <w:rPr>
          <w:rFonts w:ascii="GHEA Grapalat" w:eastAsiaTheme="minorHAnsi" w:hAnsi="GHEA Grapalat" w:cstheme="minorBidi"/>
          <w:bCs/>
          <w:lang w:val="hy-AM" w:eastAsia="en-US"/>
        </w:rPr>
        <w:t>են</w:t>
      </w:r>
      <w:r w:rsidR="000E7799">
        <w:rPr>
          <w:rFonts w:ascii="GHEA Grapalat" w:eastAsiaTheme="minorHAnsi" w:hAnsi="GHEA Grapalat" w:cstheme="minorBidi"/>
          <w:bCs/>
          <w:lang w:val="hy-AM" w:eastAsia="en-US"/>
        </w:rPr>
        <w:t>՝</w:t>
      </w:r>
      <w:r w:rsidR="00745AF1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 հիմք ընդունելով </w:t>
      </w:r>
      <w:r w:rsidR="00745AF1" w:rsidRPr="00155F29">
        <w:rPr>
          <w:rFonts w:ascii="GHEA Grapalat" w:hAnsi="GHEA Grapalat"/>
          <w:bCs/>
          <w:lang w:val="hy-AM"/>
        </w:rPr>
        <w:t>Ֆինանսական կայունության խորհրդի (FSB) կողմից հաստատված «</w:t>
      </w:r>
      <w:proofErr w:type="spellStart"/>
      <w:r w:rsidR="004F5EEE">
        <w:fldChar w:fldCharType="begin"/>
      </w:r>
      <w:r w:rsidR="004F5EEE" w:rsidRPr="00A91816">
        <w:rPr>
          <w:lang w:val="hy-AM"/>
        </w:rPr>
        <w:instrText>HYPERLINK "http://www.fsb.org/wp-content/uploads/r_141015.pdf" \t "_blank"</w:instrText>
      </w:r>
      <w:r w:rsidR="004F5EEE">
        <w:fldChar w:fldCharType="separate"/>
      </w:r>
      <w:r w:rsidR="00745AF1" w:rsidRPr="00155F29">
        <w:rPr>
          <w:rFonts w:ascii="GHEA Grapalat" w:hAnsi="GHEA Grapalat"/>
          <w:bCs/>
          <w:lang w:val="hy-AM"/>
        </w:rPr>
        <w:t>Key</w:t>
      </w:r>
      <w:proofErr w:type="spellEnd"/>
      <w:r w:rsidR="00745AF1" w:rsidRPr="00155F29">
        <w:rPr>
          <w:rFonts w:ascii="Calibri" w:hAnsi="Calibri" w:cs="Calibri"/>
          <w:bCs/>
          <w:lang w:val="hy-AM"/>
        </w:rPr>
        <w:t> 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Attributes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of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Effective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Resolution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Regimes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for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Financial</w:t>
      </w:r>
      <w:proofErr w:type="spellEnd"/>
      <w:r w:rsidR="00745AF1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745AF1" w:rsidRPr="00155F29">
        <w:rPr>
          <w:rFonts w:ascii="GHEA Grapalat" w:hAnsi="GHEA Grapalat"/>
          <w:bCs/>
          <w:lang w:val="hy-AM"/>
        </w:rPr>
        <w:t>Institutions</w:t>
      </w:r>
      <w:proofErr w:type="spellEnd"/>
      <w:r w:rsidR="004F5EEE">
        <w:rPr>
          <w:rFonts w:ascii="GHEA Grapalat" w:hAnsi="GHEA Grapalat"/>
          <w:bCs/>
          <w:lang w:val="hy-AM"/>
        </w:rPr>
        <w:fldChar w:fldCharType="end"/>
      </w:r>
      <w:r w:rsidR="00745AF1" w:rsidRPr="00155F29">
        <w:rPr>
          <w:rFonts w:ascii="GHEA Grapalat" w:hAnsi="GHEA Grapalat"/>
          <w:bCs/>
          <w:lang w:val="hy-AM"/>
        </w:rPr>
        <w:t>» միջազգային ստանդարտը և</w:t>
      </w:r>
      <w:r w:rsidR="00CA1725" w:rsidRPr="00155F29">
        <w:rPr>
          <w:rFonts w:ascii="GHEA Grapalat" w:hAnsi="GHEA Grapalat"/>
          <w:bCs/>
          <w:lang w:val="hy-AM"/>
        </w:rPr>
        <w:t xml:space="preserve"> </w:t>
      </w:r>
      <w:r w:rsidR="00745AF1" w:rsidRPr="00155F29">
        <w:rPr>
          <w:rFonts w:ascii="GHEA Grapalat" w:hAnsi="GHEA Grapalat"/>
          <w:bCs/>
          <w:lang w:val="hy-AM"/>
        </w:rPr>
        <w:t xml:space="preserve"> </w:t>
      </w:r>
      <w:r w:rsidR="00CA1725" w:rsidRPr="00155F29">
        <w:rPr>
          <w:rFonts w:ascii="GHEA Grapalat" w:hAnsi="GHEA Grapalat"/>
          <w:bCs/>
          <w:lang w:val="hy-AM"/>
        </w:rPr>
        <w:t>«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Bank</w:t>
      </w:r>
      <w:proofErr w:type="spellEnd"/>
      <w:r w:rsidR="00CA1725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Recovery</w:t>
      </w:r>
      <w:proofErr w:type="spellEnd"/>
      <w:r w:rsidR="00CA1725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and</w:t>
      </w:r>
      <w:proofErr w:type="spellEnd"/>
      <w:r w:rsidR="00CA1725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Resolution</w:t>
      </w:r>
      <w:proofErr w:type="spellEnd"/>
      <w:r w:rsidR="00CA1725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Directive</w:t>
      </w:r>
      <w:proofErr w:type="spellEnd"/>
      <w:r w:rsidR="00CA1725" w:rsidRPr="00155F29">
        <w:rPr>
          <w:rFonts w:ascii="GHEA Grapalat" w:hAnsi="GHEA Grapalat"/>
          <w:bCs/>
          <w:lang w:val="hy-AM"/>
        </w:rPr>
        <w:t xml:space="preserve"> (BRRD)» 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եվրոպական</w:t>
      </w:r>
      <w:proofErr w:type="spellEnd"/>
      <w:r w:rsidR="00CA1725" w:rsidRPr="00155F29">
        <w:rPr>
          <w:rFonts w:ascii="GHEA Grapalat" w:hAnsi="GHEA Grapalat"/>
          <w:bCs/>
          <w:lang w:val="hy-AM"/>
        </w:rPr>
        <w:t xml:space="preserve"> </w:t>
      </w:r>
      <w:proofErr w:type="spellStart"/>
      <w:r w:rsidR="00CA1725" w:rsidRPr="00155F29">
        <w:rPr>
          <w:rFonts w:ascii="GHEA Grapalat" w:hAnsi="GHEA Grapalat"/>
          <w:bCs/>
          <w:lang w:val="hy-AM"/>
        </w:rPr>
        <w:t>դիրեկտիվը</w:t>
      </w:r>
      <w:proofErr w:type="spellEnd"/>
      <w:r w:rsidR="00CA1725" w:rsidRPr="00155F29">
        <w:rPr>
          <w:rFonts w:ascii="GHEA Grapalat" w:hAnsi="GHEA Grapalat"/>
          <w:bCs/>
          <w:lang w:val="hy-AM"/>
        </w:rPr>
        <w:t>:</w:t>
      </w:r>
    </w:p>
    <w:p w14:paraId="2184BD68" w14:textId="77777777" w:rsidR="00745AF1" w:rsidRPr="00155F29" w:rsidRDefault="00745AF1" w:rsidP="003D25CE">
      <w:pPr>
        <w:pStyle w:val="ListParagraph"/>
        <w:tabs>
          <w:tab w:val="left" w:pos="300"/>
        </w:tabs>
        <w:spacing w:line="276" w:lineRule="auto"/>
        <w:ind w:left="495"/>
        <w:rPr>
          <w:rFonts w:ascii="GHEA Grapalat" w:eastAsiaTheme="minorHAnsi" w:hAnsi="GHEA Grapalat" w:cstheme="minorBidi"/>
          <w:bCs/>
          <w:lang w:val="hy-AM" w:eastAsia="en-US"/>
        </w:rPr>
      </w:pPr>
    </w:p>
    <w:p w14:paraId="3314205C" w14:textId="77777777" w:rsidR="00785204" w:rsidRDefault="0029066E" w:rsidP="00785204">
      <w:pPr>
        <w:pStyle w:val="ListParagraph"/>
        <w:tabs>
          <w:tab w:val="left" w:pos="540"/>
          <w:tab w:val="left" w:pos="810"/>
        </w:tabs>
        <w:spacing w:line="276" w:lineRule="auto"/>
        <w:ind w:left="540" w:right="23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ab/>
      </w:r>
      <w:r w:rsidR="00197954">
        <w:rPr>
          <w:rFonts w:ascii="GHEA Grapalat" w:hAnsi="GHEA Grapalat"/>
          <w:b/>
          <w:lang w:val="pt-BR"/>
        </w:rPr>
        <w:t>4</w:t>
      </w:r>
      <w:r w:rsidR="00197954">
        <w:rPr>
          <w:rFonts w:ascii="Cambria Math" w:hAnsi="Cambria Math"/>
          <w:b/>
          <w:lang w:val="pt-BR"/>
        </w:rPr>
        <w:t xml:space="preserve">․ </w:t>
      </w:r>
      <w:r w:rsidR="0026553C" w:rsidRPr="00155F29">
        <w:rPr>
          <w:rFonts w:ascii="GHEA Grapalat" w:hAnsi="GHEA Grapalat"/>
          <w:b/>
          <w:lang w:val="pt-BR"/>
        </w:rPr>
        <w:t>Ակնկալվող արդյունքը</w:t>
      </w:r>
    </w:p>
    <w:p w14:paraId="151FF88A" w14:textId="121EDD5A" w:rsidR="005B7F58" w:rsidRDefault="005B7F58" w:rsidP="00785204">
      <w:pPr>
        <w:pStyle w:val="ListParagraph"/>
        <w:tabs>
          <w:tab w:val="left" w:pos="540"/>
          <w:tab w:val="left" w:pos="810"/>
        </w:tabs>
        <w:spacing w:line="276" w:lineRule="auto"/>
        <w:ind w:left="540" w:right="23"/>
        <w:jc w:val="both"/>
        <w:rPr>
          <w:rFonts w:ascii="GHEA Grapalat" w:eastAsiaTheme="minorHAnsi" w:hAnsi="GHEA Grapalat" w:cstheme="minorBidi"/>
          <w:bCs/>
          <w:lang w:val="hy-AM" w:eastAsia="en-US"/>
        </w:rPr>
      </w:pPr>
      <w:r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Նախագծի ընդունման արդյունքում </w:t>
      </w:r>
      <w:proofErr w:type="spellStart"/>
      <w:r w:rsidR="006426E8" w:rsidRPr="00155F29">
        <w:rPr>
          <w:rFonts w:ascii="GHEA Grapalat" w:eastAsiaTheme="minorHAnsi" w:hAnsi="GHEA Grapalat" w:cstheme="minorBidi"/>
          <w:bCs/>
          <w:lang w:val="hy-AM" w:eastAsia="en-US"/>
        </w:rPr>
        <w:t>կներդրվեն</w:t>
      </w:r>
      <w:proofErr w:type="spellEnd"/>
      <w:r w:rsidR="006426E8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 ճգնաժամերի կառավարման արդյունավետ </w:t>
      </w:r>
      <w:r w:rsidR="00C775DA">
        <w:rPr>
          <w:rFonts w:ascii="GHEA Grapalat" w:eastAsiaTheme="minorHAnsi" w:hAnsi="GHEA Grapalat" w:cstheme="minorBidi"/>
          <w:bCs/>
          <w:lang w:val="hy-AM" w:eastAsia="en-US"/>
        </w:rPr>
        <w:t xml:space="preserve">և միջազգային չափանիշներին համահունչ </w:t>
      </w:r>
      <w:r w:rsidR="006426E8" w:rsidRPr="00155F29">
        <w:rPr>
          <w:rFonts w:ascii="GHEA Grapalat" w:eastAsiaTheme="minorHAnsi" w:hAnsi="GHEA Grapalat" w:cstheme="minorBidi"/>
          <w:bCs/>
          <w:lang w:val="hy-AM" w:eastAsia="en-US"/>
        </w:rPr>
        <w:t>մեխանիզմներ</w:t>
      </w:r>
      <w:r w:rsidR="00C775DA">
        <w:rPr>
          <w:rFonts w:ascii="GHEA Grapalat" w:eastAsiaTheme="minorHAnsi" w:hAnsi="GHEA Grapalat" w:cstheme="minorBidi"/>
          <w:bCs/>
          <w:lang w:val="hy-AM" w:eastAsia="en-US"/>
        </w:rPr>
        <w:t xml:space="preserve"> և գործիքներ</w:t>
      </w:r>
      <w:r w:rsidR="003D25CE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՝ </w:t>
      </w:r>
      <w:r w:rsidR="006426E8" w:rsidRPr="00155F29">
        <w:rPr>
          <w:rFonts w:ascii="GHEA Grapalat" w:eastAsiaTheme="minorHAnsi" w:hAnsi="GHEA Grapalat" w:cstheme="minorBidi"/>
          <w:bCs/>
          <w:lang w:val="hy-AM" w:eastAsia="en-US"/>
        </w:rPr>
        <w:lastRenderedPageBreak/>
        <w:t>ֆինանսական համակարգի կայունությունն ապահովելու համար:</w:t>
      </w:r>
      <w:r w:rsidR="00745AF1" w:rsidRPr="00155F29">
        <w:rPr>
          <w:rFonts w:ascii="GHEA Grapalat" w:eastAsiaTheme="minorHAnsi" w:hAnsi="GHEA Grapalat" w:cstheme="minorBidi"/>
          <w:bCs/>
          <w:lang w:val="hy-AM" w:eastAsia="en-US"/>
        </w:rPr>
        <w:t xml:space="preserve"> </w:t>
      </w:r>
      <w:r w:rsidR="00785204" w:rsidRPr="00785204">
        <w:rPr>
          <w:rFonts w:ascii="GHEA Grapalat" w:eastAsiaTheme="minorHAnsi" w:hAnsi="GHEA Grapalat" w:cstheme="minorBidi"/>
          <w:bCs/>
          <w:lang w:val="hy-AM" w:eastAsia="en-US"/>
        </w:rPr>
        <w:t>Օրենսդրության բարելավումն անհրաժեշտ է ճգնաժամերի կառավարման արդյունավետ մեխանիզմներ ներդնելու, բանկերի ձախողման դեպքում բանկերի կրիտիկական գործունեության (գործառնության) անընդհատությունը  և ֆինանսական համակարգի կայունությունն ապահովելու համար:</w:t>
      </w:r>
      <w:r w:rsidR="00785204" w:rsidRPr="00785204">
        <w:rPr>
          <w:rFonts w:ascii="GHEA Grapalat" w:eastAsiaTheme="minorHAnsi" w:hAnsi="GHEA Grapalat" w:cstheme="minorBidi"/>
          <w:bCs/>
          <w:lang w:val="hy-AM" w:eastAsia="en-US"/>
        </w:rPr>
        <w:t xml:space="preserve"> Կներդրվի</w:t>
      </w:r>
      <w:r w:rsidR="00785204" w:rsidRPr="00785204">
        <w:rPr>
          <w:rFonts w:ascii="GHEA Grapalat" w:eastAsiaTheme="minorHAnsi" w:hAnsi="GHEA Grapalat" w:cstheme="minorBidi"/>
          <w:bCs/>
          <w:lang w:val="hy-AM" w:eastAsia="en-US"/>
        </w:rPr>
        <w:t xml:space="preserve"> լայն </w:t>
      </w:r>
      <w:proofErr w:type="spellStart"/>
      <w:r w:rsidR="00785204" w:rsidRPr="00785204">
        <w:rPr>
          <w:rFonts w:ascii="GHEA Grapalat" w:eastAsiaTheme="minorHAnsi" w:hAnsi="GHEA Grapalat" w:cstheme="minorBidi"/>
          <w:bCs/>
          <w:lang w:val="hy-AM" w:eastAsia="en-US"/>
        </w:rPr>
        <w:t>գործիքակազմ</w:t>
      </w:r>
      <w:proofErr w:type="spellEnd"/>
      <w:r w:rsidR="00785204" w:rsidRPr="00785204">
        <w:rPr>
          <w:rFonts w:ascii="GHEA Grapalat" w:eastAsiaTheme="minorHAnsi" w:hAnsi="GHEA Grapalat" w:cstheme="minorBidi"/>
          <w:bCs/>
          <w:lang w:val="hy-AM" w:eastAsia="en-US"/>
        </w:rPr>
        <w:t>՝ իրականացնելու բանկերի վերակառուցումն այնպես, որպեսզի ապահովվի նաև պետական միջոցների պաշտպանությունը՝ հնարավորինս նվազեցնելով պետական արտակարգ աջակցություն ստանալու անհրաժեշտությունը</w:t>
      </w:r>
      <w:r w:rsidR="00785204" w:rsidRPr="00785204">
        <w:rPr>
          <w:rFonts w:ascii="GHEA Grapalat" w:eastAsiaTheme="minorHAnsi" w:hAnsi="GHEA Grapalat" w:cstheme="minorBidi"/>
          <w:bCs/>
          <w:lang w:val="hy-AM" w:eastAsia="en-US"/>
        </w:rPr>
        <w:t xml:space="preserve">։ </w:t>
      </w:r>
    </w:p>
    <w:p w14:paraId="346C4EA9" w14:textId="77777777" w:rsidR="00785204" w:rsidRPr="00785204" w:rsidRDefault="00785204" w:rsidP="00785204">
      <w:pPr>
        <w:pStyle w:val="ListParagraph"/>
        <w:tabs>
          <w:tab w:val="left" w:pos="540"/>
          <w:tab w:val="left" w:pos="810"/>
        </w:tabs>
        <w:spacing w:line="276" w:lineRule="auto"/>
        <w:ind w:left="540" w:right="23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14:paraId="6A527E07" w14:textId="2CAB8E3E" w:rsidR="00197954" w:rsidRPr="00197954" w:rsidRDefault="0029066E" w:rsidP="00197954">
      <w:pPr>
        <w:tabs>
          <w:tab w:val="left" w:pos="810"/>
        </w:tabs>
        <w:spacing w:line="276" w:lineRule="auto"/>
        <w:ind w:right="23"/>
        <w:jc w:val="both"/>
        <w:rPr>
          <w:rFonts w:ascii="GHEA Grapalat" w:hAnsi="GHEA Grapalat" w:cs="GHEA Mariam"/>
          <w:b/>
          <w:lang w:val="pt-BR"/>
        </w:rPr>
      </w:pPr>
      <w:r>
        <w:rPr>
          <w:rFonts w:ascii="GHEA Grapalat" w:hAnsi="GHEA Grapalat" w:cs="GHEA Mariam"/>
          <w:b/>
          <w:lang w:val="hy-AM"/>
        </w:rPr>
        <w:tab/>
      </w:r>
      <w:r w:rsidR="00197954">
        <w:rPr>
          <w:rFonts w:ascii="GHEA Grapalat" w:hAnsi="GHEA Grapalat" w:cs="GHEA Mariam"/>
          <w:b/>
          <w:lang w:val="hy-AM"/>
        </w:rPr>
        <w:t>5</w:t>
      </w:r>
      <w:r w:rsidR="00197954">
        <w:rPr>
          <w:rFonts w:ascii="Cambria Math" w:hAnsi="Cambria Math" w:cs="GHEA Mariam"/>
          <w:b/>
          <w:lang w:val="hy-AM"/>
        </w:rPr>
        <w:t xml:space="preserve">․ </w:t>
      </w:r>
      <w:r w:rsidR="00197954" w:rsidRPr="00197954">
        <w:rPr>
          <w:rFonts w:ascii="GHEA Grapalat" w:hAnsi="GHEA Grapalat" w:cs="GHEA Mariam"/>
          <w:b/>
          <w:lang w:val="hy-AM"/>
        </w:rPr>
        <w:t>Նախագծի մշակման գործընթացում ներգրավված ինստիտուտները և անձինք</w:t>
      </w:r>
    </w:p>
    <w:p w14:paraId="79B9CD92" w14:textId="77777777" w:rsidR="00197954" w:rsidRDefault="00197954" w:rsidP="00197954">
      <w:pPr>
        <w:spacing w:after="120" w:line="276" w:lineRule="auto"/>
        <w:ind w:firstLine="720"/>
        <w:rPr>
          <w:rFonts w:ascii="GHEA Grapalat" w:hAnsi="GHEA Grapalat"/>
          <w:b/>
          <w:lang w:val="pt-BR"/>
        </w:rPr>
      </w:pPr>
      <w:proofErr w:type="spellStart"/>
      <w:r w:rsidRPr="00155F29">
        <w:rPr>
          <w:rFonts w:ascii="GHEA Grapalat" w:hAnsi="GHEA Grapalat"/>
          <w:bCs/>
          <w:color w:val="000000"/>
          <w:lang w:val="hy-AM"/>
        </w:rPr>
        <w:t>Նախագ</w:t>
      </w:r>
      <w:r w:rsidRPr="00155F29">
        <w:rPr>
          <w:rFonts w:ascii="GHEA Grapalat" w:hAnsi="GHEA Grapalat"/>
          <w:bCs/>
          <w:color w:val="000000"/>
          <w:lang w:val="en-US"/>
        </w:rPr>
        <w:t>իծ</w:t>
      </w:r>
      <w:proofErr w:type="spellEnd"/>
      <w:r w:rsidRPr="00155F29">
        <w:rPr>
          <w:rFonts w:ascii="GHEA Grapalat" w:hAnsi="GHEA Grapalat"/>
          <w:bCs/>
          <w:color w:val="000000"/>
          <w:lang w:val="hy-AM"/>
        </w:rPr>
        <w:t xml:space="preserve">ը մշակվել </w:t>
      </w:r>
      <w:r w:rsidRPr="00155F29">
        <w:rPr>
          <w:rFonts w:ascii="GHEA Grapalat" w:hAnsi="GHEA Grapalat"/>
          <w:bCs/>
          <w:color w:val="000000"/>
          <w:lang w:val="en-US"/>
        </w:rPr>
        <w:t>է</w:t>
      </w:r>
      <w:r w:rsidRPr="00155F29">
        <w:rPr>
          <w:rFonts w:ascii="GHEA Grapalat" w:hAnsi="GHEA Grapalat"/>
          <w:bCs/>
          <w:color w:val="000000"/>
          <w:lang w:val="hy-AM"/>
        </w:rPr>
        <w:t xml:space="preserve"> ՀՀ կենտրոնական բանկի</w:t>
      </w:r>
      <w:r w:rsidRPr="00155F29">
        <w:rPr>
          <w:rFonts w:ascii="GHEA Grapalat" w:hAnsi="GHEA Grapalat"/>
          <w:bCs/>
          <w:color w:val="000000"/>
          <w:lang w:val="pt-BR"/>
        </w:rPr>
        <w:t xml:space="preserve"> </w:t>
      </w:r>
      <w:proofErr w:type="spellStart"/>
      <w:r w:rsidRPr="00155F29">
        <w:rPr>
          <w:rFonts w:ascii="GHEA Grapalat" w:hAnsi="GHEA Grapalat" w:cs="Sylfaen"/>
          <w:lang w:val="en-US"/>
        </w:rPr>
        <w:t>կողմից</w:t>
      </w:r>
      <w:proofErr w:type="spellEnd"/>
      <w:r w:rsidRPr="00155F29">
        <w:rPr>
          <w:rFonts w:ascii="GHEA Grapalat" w:hAnsi="GHEA Grapalat" w:cs="Sylfaen"/>
          <w:lang w:val="hy-AM"/>
        </w:rPr>
        <w:t>։</w:t>
      </w:r>
    </w:p>
    <w:p w14:paraId="068E93D6" w14:textId="77777777" w:rsidR="005B7F58" w:rsidRPr="00155F29" w:rsidRDefault="005B7F58" w:rsidP="00750252">
      <w:pPr>
        <w:pStyle w:val="ListParagraph"/>
        <w:spacing w:line="276" w:lineRule="auto"/>
        <w:ind w:left="900"/>
        <w:jc w:val="both"/>
        <w:rPr>
          <w:rFonts w:ascii="GHEA Grapalat" w:hAnsi="GHEA Grapalat"/>
          <w:lang w:val="hy-AM"/>
        </w:rPr>
      </w:pPr>
    </w:p>
    <w:p w14:paraId="26CA3A15" w14:textId="3885D48D" w:rsidR="0026553C" w:rsidRPr="00155F29" w:rsidRDefault="00197954" w:rsidP="00197954">
      <w:pPr>
        <w:pStyle w:val="ListParagraph"/>
        <w:tabs>
          <w:tab w:val="left" w:pos="810"/>
        </w:tabs>
        <w:spacing w:line="276" w:lineRule="auto"/>
        <w:ind w:left="900" w:right="23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6</w:t>
      </w:r>
      <w:r>
        <w:rPr>
          <w:rFonts w:ascii="Cambria Math" w:hAnsi="Cambria Math"/>
          <w:b/>
          <w:lang w:val="pt-BR"/>
        </w:rPr>
        <w:t xml:space="preserve">․ </w:t>
      </w:r>
      <w:r w:rsidR="0026553C" w:rsidRPr="00155F29">
        <w:rPr>
          <w:rFonts w:ascii="GHEA Grapalat" w:hAnsi="GHEA Grapalat"/>
          <w:b/>
          <w:lang w:val="pt-BR"/>
        </w:rPr>
        <w:t>Ակտի նորմատիվ բնույթի հիմնավորվածությունը</w:t>
      </w:r>
    </w:p>
    <w:p w14:paraId="3722FA17" w14:textId="3D2179B8" w:rsidR="0026553C" w:rsidRPr="00155F29" w:rsidRDefault="0026553C" w:rsidP="00361201">
      <w:pPr>
        <w:ind w:left="540" w:firstLine="567"/>
        <w:jc w:val="both"/>
        <w:rPr>
          <w:rFonts w:ascii="GHEA Grapalat" w:hAnsi="GHEA Grapalat"/>
          <w:color w:val="000000"/>
          <w:lang w:val="pt-BR"/>
        </w:rPr>
      </w:pPr>
      <w:r w:rsidRPr="00155F29">
        <w:rPr>
          <w:rFonts w:ascii="GHEA Grapalat" w:hAnsi="GHEA Grapalat"/>
          <w:color w:val="000000"/>
          <w:lang w:val="hy-AM"/>
        </w:rPr>
        <w:t>Ակտ</w:t>
      </w:r>
      <w:r w:rsidR="005B7F58" w:rsidRPr="00155F29">
        <w:rPr>
          <w:rFonts w:ascii="GHEA Grapalat" w:hAnsi="GHEA Grapalat"/>
          <w:color w:val="000000"/>
          <w:lang w:val="hy-AM"/>
        </w:rPr>
        <w:t>երը</w:t>
      </w:r>
      <w:r w:rsidRPr="00155F29">
        <w:rPr>
          <w:rFonts w:ascii="GHEA Grapalat" w:hAnsi="GHEA Grapalat"/>
          <w:color w:val="000000"/>
          <w:lang w:val="hy-AM"/>
        </w:rPr>
        <w:t xml:space="preserve"> նորմատիվ </w:t>
      </w:r>
      <w:r w:rsidR="005B7F58" w:rsidRPr="00155F29">
        <w:rPr>
          <w:rFonts w:ascii="GHEA Grapalat" w:hAnsi="GHEA Grapalat"/>
          <w:color w:val="000000"/>
          <w:lang w:val="hy-AM"/>
        </w:rPr>
        <w:t>բնույթի են</w:t>
      </w:r>
      <w:r w:rsidRPr="00155F29">
        <w:rPr>
          <w:rFonts w:ascii="GHEA Grapalat" w:hAnsi="GHEA Grapalat"/>
          <w:color w:val="000000"/>
          <w:lang w:val="hy-AM"/>
        </w:rPr>
        <w:t>, քանի որ նախագծ</w:t>
      </w:r>
      <w:r w:rsidR="00197954">
        <w:rPr>
          <w:rFonts w:ascii="GHEA Grapalat" w:hAnsi="GHEA Grapalat"/>
          <w:color w:val="000000"/>
          <w:lang w:val="hy-AM"/>
        </w:rPr>
        <w:t>եր</w:t>
      </w:r>
      <w:r w:rsidRPr="00155F29">
        <w:rPr>
          <w:rFonts w:ascii="GHEA Grapalat" w:hAnsi="GHEA Grapalat"/>
          <w:color w:val="000000"/>
          <w:lang w:val="hy-AM"/>
        </w:rPr>
        <w:t xml:space="preserve">ը «Նորմատիվ իրավական ակտերի մասին» Հայաստանի Հանրապետության օրենքով սահմանված պահանջների համաձայն մշակված գրավոր ակտ </w:t>
      </w:r>
      <w:r w:rsidR="00CD4107">
        <w:rPr>
          <w:rFonts w:ascii="GHEA Grapalat" w:hAnsi="GHEA Grapalat"/>
          <w:color w:val="000000"/>
          <w:lang w:val="hy-AM"/>
        </w:rPr>
        <w:t>են</w:t>
      </w:r>
      <w:r w:rsidRPr="00155F29">
        <w:rPr>
          <w:rFonts w:ascii="GHEA Grapalat" w:hAnsi="GHEA Grapalat"/>
          <w:color w:val="000000"/>
          <w:lang w:val="hy-AM"/>
        </w:rPr>
        <w:t xml:space="preserve"> և պարունակում</w:t>
      </w:r>
      <w:r w:rsidRPr="00155F29">
        <w:rPr>
          <w:rFonts w:ascii="GHEA Grapalat" w:hAnsi="GHEA Grapalat"/>
          <w:lang w:val="hy-AM"/>
        </w:rPr>
        <w:t xml:space="preserve"> </w:t>
      </w:r>
      <w:r w:rsidR="00CD4107">
        <w:rPr>
          <w:rFonts w:ascii="GHEA Grapalat" w:hAnsi="GHEA Grapalat"/>
          <w:lang w:val="hy-AM"/>
        </w:rPr>
        <w:t>են</w:t>
      </w:r>
      <w:r w:rsidRPr="00155F29">
        <w:rPr>
          <w:rFonts w:ascii="GHEA Grapalat" w:hAnsi="GHEA Grapalat"/>
          <w:lang w:val="hy-AM"/>
        </w:rPr>
        <w:t xml:space="preserve"> </w:t>
      </w:r>
      <w:r w:rsidRPr="00155F29">
        <w:rPr>
          <w:rFonts w:ascii="GHEA Grapalat" w:hAnsi="GHEA Grapalat"/>
          <w:color w:val="000000"/>
          <w:lang w:val="hy-AM"/>
        </w:rPr>
        <w:t>վարքագծի պարտադիր կանոններ անորոշ թվով անձանց համար:</w:t>
      </w:r>
      <w:r w:rsidRPr="00155F29">
        <w:rPr>
          <w:rFonts w:ascii="GHEA Grapalat" w:hAnsi="GHEA Grapalat"/>
          <w:color w:val="000000"/>
          <w:lang w:val="hy-AM" w:eastAsia="en-US"/>
        </w:rPr>
        <w:t xml:space="preserve"> </w:t>
      </w:r>
    </w:p>
    <w:p w14:paraId="53E1229D" w14:textId="1C580AEB" w:rsidR="0026553C" w:rsidRPr="00155F29" w:rsidRDefault="0026553C" w:rsidP="00750252">
      <w:pPr>
        <w:tabs>
          <w:tab w:val="left" w:pos="90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EF9CE34" w14:textId="35882C1E" w:rsidR="0026553C" w:rsidRPr="00155F29" w:rsidRDefault="00197954" w:rsidP="00197954">
      <w:pPr>
        <w:pStyle w:val="ListParagraph"/>
        <w:tabs>
          <w:tab w:val="left" w:pos="810"/>
        </w:tabs>
        <w:spacing w:line="276" w:lineRule="auto"/>
        <w:ind w:left="900" w:right="23"/>
        <w:jc w:val="both"/>
        <w:rPr>
          <w:rFonts w:ascii="GHEA Grapalat" w:eastAsia="MS Gothic" w:hAnsi="GHEA Grapalat" w:cs="MS Gothic"/>
          <w:color w:val="FF0000"/>
          <w:lang w:val="hy-AM"/>
        </w:rPr>
      </w:pPr>
      <w:r>
        <w:rPr>
          <w:rFonts w:ascii="GHEA Grapalat" w:hAnsi="GHEA Grapalat"/>
          <w:b/>
          <w:lang w:val="hy-AM"/>
        </w:rPr>
        <w:t>7</w:t>
      </w:r>
      <w:r>
        <w:rPr>
          <w:rFonts w:ascii="Cambria Math" w:hAnsi="Cambria Math"/>
          <w:b/>
          <w:lang w:val="hy-AM"/>
        </w:rPr>
        <w:t xml:space="preserve">․ </w:t>
      </w:r>
      <w:r w:rsidR="0026553C" w:rsidRPr="00155F29">
        <w:rPr>
          <w:rFonts w:ascii="GHEA Grapalat" w:hAnsi="GHEA Grapalat"/>
          <w:b/>
          <w:lang w:val="hy-AM"/>
        </w:rPr>
        <w:t>Օ</w:t>
      </w:r>
      <w:r w:rsidR="0026553C" w:rsidRPr="00155F29">
        <w:rPr>
          <w:rFonts w:ascii="GHEA Grapalat" w:hAnsi="GHEA Grapalat" w:cs="Sylfaen"/>
          <w:b/>
          <w:lang w:val="hy-AM"/>
        </w:rPr>
        <w:t>րենքների</w:t>
      </w:r>
      <w:r w:rsidR="0026553C" w:rsidRPr="00155F29">
        <w:rPr>
          <w:rFonts w:ascii="GHEA Grapalat" w:hAnsi="GHEA Grapalat"/>
          <w:b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noProof/>
          <w:lang w:val="hy-AM"/>
        </w:rPr>
        <w:t>ընդունման</w:t>
      </w:r>
      <w:r w:rsidR="0026553C" w:rsidRPr="00155F29">
        <w:rPr>
          <w:rFonts w:ascii="GHEA Grapalat" w:hAnsi="GHEA Grapalat"/>
          <w:b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="00EF213D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և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14:paraId="506893AE" w14:textId="02DFAE14" w:rsidR="0026553C" w:rsidRPr="00155F29" w:rsidRDefault="003D25CE" w:rsidP="00361201">
      <w:pPr>
        <w:ind w:left="630" w:firstLine="450"/>
        <w:jc w:val="both"/>
        <w:rPr>
          <w:rFonts w:ascii="GHEA Grapalat" w:hAnsi="GHEA Grapalat"/>
          <w:lang w:val="hy-AM"/>
        </w:rPr>
      </w:pPr>
      <w:r w:rsidRPr="00155F29">
        <w:rPr>
          <w:rFonts w:ascii="GHEA Grapalat" w:hAnsi="GHEA Grapalat" w:cs="Sylfaen"/>
          <w:lang w:val="hy-AM"/>
        </w:rPr>
        <w:t>Նախագծ</w:t>
      </w:r>
      <w:r w:rsidR="00027CF0">
        <w:rPr>
          <w:rFonts w:ascii="GHEA Grapalat" w:hAnsi="GHEA Grapalat" w:cs="Sylfaen"/>
          <w:lang w:val="hy-AM"/>
        </w:rPr>
        <w:t>ի</w:t>
      </w:r>
      <w:r w:rsidRPr="00155F29">
        <w:rPr>
          <w:rFonts w:ascii="GHEA Grapalat" w:hAnsi="GHEA Grapalat" w:cs="Sylfaen"/>
          <w:lang w:val="hy-AM"/>
        </w:rPr>
        <w:t xml:space="preserve"> նախատեսված է, որ Ֆինանսների նախարարությունը կարող է որոշում կայացնել Բանկերի վերակառուցման հիմնադրամին բյուջետային վարկ կամ երաշխիք տրամադրել</w:t>
      </w:r>
      <w:r w:rsidR="00155F29" w:rsidRPr="00155F29">
        <w:rPr>
          <w:rFonts w:ascii="GHEA Grapalat" w:hAnsi="GHEA Grapalat" w:cs="Sylfaen"/>
          <w:lang w:val="hy-AM"/>
        </w:rPr>
        <w:t>ու վերաբերյալ</w:t>
      </w:r>
      <w:r w:rsidRPr="00155F29">
        <w:rPr>
          <w:rFonts w:ascii="GHEA Grapalat" w:hAnsi="GHEA Grapalat" w:cs="Sylfaen"/>
          <w:lang w:val="hy-AM"/>
        </w:rPr>
        <w:t>:</w:t>
      </w:r>
    </w:p>
    <w:p w14:paraId="6A0E58AB" w14:textId="77777777" w:rsidR="00EF213D" w:rsidRPr="00155F29" w:rsidRDefault="00EF213D" w:rsidP="00982502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6F65E8A" w14:textId="0A9114EF" w:rsidR="0026553C" w:rsidRPr="00155F29" w:rsidRDefault="00197954" w:rsidP="00197954">
      <w:pPr>
        <w:pStyle w:val="ListParagraph"/>
        <w:tabs>
          <w:tab w:val="left" w:pos="810"/>
        </w:tabs>
        <w:spacing w:line="276" w:lineRule="auto"/>
        <w:ind w:left="900" w:right="2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hy-AM"/>
        </w:rPr>
        <w:t>8</w:t>
      </w:r>
      <w:r>
        <w:rPr>
          <w:rFonts w:ascii="Cambria Math" w:hAnsi="Cambria Math"/>
          <w:b/>
          <w:lang w:val="hy-AM"/>
        </w:rPr>
        <w:t xml:space="preserve">․ </w:t>
      </w:r>
      <w:r w:rsidR="0026553C" w:rsidRPr="00155F29">
        <w:rPr>
          <w:rFonts w:ascii="GHEA Grapalat" w:hAnsi="GHEA Grapalat"/>
          <w:b/>
          <w:lang w:val="hy-AM"/>
        </w:rPr>
        <w:t>Օ</w:t>
      </w:r>
      <w:r w:rsidR="0026553C" w:rsidRPr="00155F29">
        <w:rPr>
          <w:rFonts w:ascii="GHEA Grapalat" w:hAnsi="GHEA Grapalat" w:cs="Sylfaen"/>
          <w:b/>
          <w:lang w:val="hy-AM"/>
        </w:rPr>
        <w:t>րենքների</w:t>
      </w:r>
      <w:r w:rsidR="0026553C" w:rsidRPr="00155F29">
        <w:rPr>
          <w:rFonts w:ascii="GHEA Grapalat" w:hAnsi="GHEA Grapalat"/>
          <w:b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noProof/>
          <w:lang w:val="hy-AM"/>
        </w:rPr>
        <w:t>ընդունման</w:t>
      </w:r>
      <w:r w:rsidR="0026553C" w:rsidRPr="00155F29">
        <w:rPr>
          <w:rFonts w:ascii="GHEA Grapalat" w:hAnsi="GHEA Grapalat"/>
          <w:b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26553C" w:rsidRPr="00155F29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155F29">
        <w:rPr>
          <w:rFonts w:ascii="GHEA Grapalat" w:hAnsi="GHEA Grapalat" w:cs="Sylfaen"/>
          <w:b/>
          <w:bCs/>
          <w:iCs/>
          <w:noProof/>
          <w:lang w:val="hy-AM"/>
        </w:rPr>
        <w:t>այլ իրավական ակտերի ընդունման անհրաժեշտությունը</w:t>
      </w:r>
    </w:p>
    <w:p w14:paraId="4495B64A" w14:textId="78D4EFEC" w:rsidR="0026553C" w:rsidRPr="00B17542" w:rsidRDefault="005B7F58" w:rsidP="00361201">
      <w:pPr>
        <w:spacing w:line="276" w:lineRule="auto"/>
        <w:ind w:left="630" w:firstLine="567"/>
        <w:jc w:val="both"/>
        <w:rPr>
          <w:rFonts w:ascii="GHEA Grapalat" w:hAnsi="GHEA Grapalat"/>
          <w:color w:val="FF0000"/>
          <w:shd w:val="clear" w:color="auto" w:fill="FFFFFF"/>
          <w:lang w:val="pt-BR"/>
        </w:rPr>
      </w:pPr>
      <w:r w:rsidRPr="00155F29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="0026553C" w:rsidRPr="00155F29">
        <w:rPr>
          <w:rFonts w:ascii="GHEA Grapalat" w:hAnsi="GHEA Grapalat"/>
          <w:bCs/>
          <w:color w:val="000000"/>
          <w:shd w:val="clear" w:color="auto" w:fill="FFFFFF"/>
          <w:lang w:val="hy-AM"/>
        </w:rPr>
        <w:t>ախագծի</w:t>
      </w:r>
      <w:r w:rsidR="0026553C" w:rsidRPr="00155F29">
        <w:rPr>
          <w:rFonts w:ascii="GHEA Grapalat" w:hAnsi="GHEA Grapalat"/>
          <w:b/>
          <w:bCs/>
          <w:color w:val="000000"/>
          <w:shd w:val="clear" w:color="auto" w:fill="FFFFFF"/>
          <w:lang w:val="pt-BR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ընդունման</w:t>
      </w:r>
      <w:r w:rsidR="0026553C" w:rsidRPr="00361201">
        <w:rPr>
          <w:rFonts w:ascii="GHEA Grapalat" w:hAnsi="GHEA Grapalat"/>
          <w:color w:val="000000" w:themeColor="text1"/>
          <w:lang w:val="pt-BR"/>
        </w:rPr>
        <w:t xml:space="preserve"> </w:t>
      </w:r>
      <w:r w:rsidR="0026553C" w:rsidRPr="00361201">
        <w:rPr>
          <w:rFonts w:ascii="GHEA Grapalat" w:hAnsi="GHEA Grapalat" w:cs="Sylfaen"/>
          <w:bCs/>
          <w:iCs/>
          <w:noProof/>
          <w:color w:val="000000" w:themeColor="text1"/>
          <w:lang w:val="hy-AM"/>
        </w:rPr>
        <w:t>կապակցությամբ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այլ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նորմատիվ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իրավական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ակտերի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ընդունման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անհրաժեշտություն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առկա</w:t>
      </w:r>
      <w:r w:rsidR="0026553C" w:rsidRPr="00361201">
        <w:rPr>
          <w:rFonts w:ascii="GHEA Grapalat" w:hAnsi="GHEA Grapalat"/>
          <w:color w:val="000000" w:themeColor="text1"/>
          <w:lang w:val="hy-AM"/>
        </w:rPr>
        <w:t xml:space="preserve"> </w:t>
      </w:r>
      <w:r w:rsidR="0026553C" w:rsidRPr="00361201">
        <w:rPr>
          <w:rFonts w:ascii="GHEA Grapalat" w:hAnsi="GHEA Grapalat" w:cs="Sylfaen"/>
          <w:color w:val="000000" w:themeColor="text1"/>
          <w:lang w:val="hy-AM"/>
        </w:rPr>
        <w:t>չէ</w:t>
      </w:r>
      <w:r w:rsidR="0026553C" w:rsidRPr="00361201">
        <w:rPr>
          <w:rFonts w:ascii="GHEA Grapalat" w:hAnsi="GHEA Grapalat"/>
          <w:color w:val="000000" w:themeColor="text1"/>
          <w:lang w:val="hy-AM"/>
        </w:rPr>
        <w:t>:</w:t>
      </w:r>
    </w:p>
    <w:p w14:paraId="3E7F0CC6" w14:textId="77777777" w:rsidR="0026553C" w:rsidRPr="00155F29" w:rsidRDefault="0026553C" w:rsidP="00750252">
      <w:pPr>
        <w:spacing w:line="276" w:lineRule="auto"/>
        <w:ind w:right="23" w:firstLine="540"/>
        <w:jc w:val="both"/>
        <w:rPr>
          <w:rFonts w:ascii="GHEA Grapalat" w:hAnsi="GHEA Grapalat"/>
          <w:bCs/>
          <w:color w:val="000000"/>
          <w:shd w:val="clear" w:color="auto" w:fill="FFFFFF"/>
          <w:lang w:val="pt-BR"/>
        </w:rPr>
      </w:pPr>
    </w:p>
    <w:p w14:paraId="2B19E43E" w14:textId="05FA837D" w:rsidR="0026553C" w:rsidRPr="00155F29" w:rsidRDefault="00197954" w:rsidP="00197954">
      <w:pPr>
        <w:pStyle w:val="ListParagraph"/>
        <w:tabs>
          <w:tab w:val="left" w:pos="810"/>
        </w:tabs>
        <w:spacing w:line="276" w:lineRule="auto"/>
        <w:ind w:left="900" w:right="23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9</w:t>
      </w:r>
      <w:r>
        <w:rPr>
          <w:rFonts w:ascii="Cambria Math" w:hAnsi="Cambria Math"/>
          <w:b/>
          <w:lang w:val="hy-AM"/>
        </w:rPr>
        <w:t xml:space="preserve">․ </w:t>
      </w:r>
      <w:r w:rsidR="0026553C" w:rsidRPr="00155F29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 (կամ) այլ </w:t>
      </w:r>
      <w:proofErr w:type="spellStart"/>
      <w:r w:rsidR="0026553C" w:rsidRPr="00155F29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14:paraId="1B55EFF9" w14:textId="43137E76" w:rsidR="004A76A0" w:rsidRPr="00155F29" w:rsidRDefault="00785204" w:rsidP="00027CF0">
      <w:pPr>
        <w:pStyle w:val="ListParagraph"/>
        <w:tabs>
          <w:tab w:val="left" w:pos="810"/>
        </w:tabs>
        <w:spacing w:line="276" w:lineRule="auto"/>
        <w:ind w:left="900" w:right="2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2E566B" w:rsidRPr="006039E6">
        <w:rPr>
          <w:rFonts w:ascii="GHEA Grapalat" w:hAnsi="GHEA Grapalat"/>
          <w:lang w:val="hy-AM"/>
        </w:rPr>
        <w:t>Նախագծի մշակումը չի բխում  Հայաստանի վերափոխման ռազմավարություն 2050</w:t>
      </w:r>
      <w:r w:rsidR="00CD4107">
        <w:rPr>
          <w:rFonts w:ascii="GHEA Grapalat" w:hAnsi="GHEA Grapalat"/>
          <w:lang w:val="hy-AM"/>
        </w:rPr>
        <w:t>-ից</w:t>
      </w:r>
      <w:r w:rsidR="002E566B" w:rsidRPr="006039E6">
        <w:rPr>
          <w:rFonts w:ascii="GHEA Grapalat" w:hAnsi="GHEA Grapalat"/>
          <w:lang w:val="hy-AM"/>
        </w:rPr>
        <w:t>, Կառավարության 2021-2026թթ. ծրագ</w:t>
      </w:r>
      <w:r w:rsidR="00CD4107">
        <w:rPr>
          <w:rFonts w:ascii="GHEA Grapalat" w:hAnsi="GHEA Grapalat"/>
          <w:lang w:val="hy-AM"/>
        </w:rPr>
        <w:t>րից</w:t>
      </w:r>
      <w:r w:rsidR="002E566B" w:rsidRPr="006039E6">
        <w:rPr>
          <w:rFonts w:ascii="GHEA Grapalat" w:hAnsi="GHEA Grapalat"/>
          <w:lang w:val="hy-AM"/>
        </w:rPr>
        <w:t xml:space="preserve">, ոլորտային և (կամ) այլ </w:t>
      </w:r>
      <w:proofErr w:type="spellStart"/>
      <w:r w:rsidR="002E566B" w:rsidRPr="006039E6">
        <w:rPr>
          <w:rFonts w:ascii="GHEA Grapalat" w:hAnsi="GHEA Grapalat"/>
          <w:lang w:val="hy-AM"/>
        </w:rPr>
        <w:t>ռազմավարություններից</w:t>
      </w:r>
      <w:proofErr w:type="spellEnd"/>
      <w:r w:rsidR="002E566B" w:rsidRPr="006039E6">
        <w:rPr>
          <w:rFonts w:ascii="GHEA Grapalat" w:hAnsi="GHEA Grapalat"/>
          <w:lang w:val="hy-AM"/>
        </w:rPr>
        <w:t>։</w:t>
      </w:r>
      <w:r w:rsidR="00027CF0">
        <w:rPr>
          <w:rFonts w:ascii="GHEA Grapalat" w:hAnsi="GHEA Grapalat"/>
          <w:lang w:val="hy-AM"/>
        </w:rPr>
        <w:t xml:space="preserve"> Նախագծի մշակումը բխում է ՀՀ-ի </w:t>
      </w:r>
      <w:r w:rsidR="00027CF0" w:rsidRPr="00155F29">
        <w:rPr>
          <w:rFonts w:ascii="GHEA Grapalat" w:hAnsi="GHEA Grapalat"/>
          <w:bCs/>
          <w:lang w:val="hy-AM"/>
        </w:rPr>
        <w:t xml:space="preserve">Արժույթի միջազգային հիմնադրամի </w:t>
      </w:r>
      <w:r w:rsidR="00027CF0">
        <w:rPr>
          <w:rFonts w:ascii="GHEA Grapalat" w:hAnsi="GHEA Grapalat"/>
          <w:lang w:val="hy-AM"/>
        </w:rPr>
        <w:t xml:space="preserve">հետ կնքված Տնտեսական և ֆինանսական </w:t>
      </w:r>
      <w:proofErr w:type="spellStart"/>
      <w:r w:rsidR="00027CF0">
        <w:rPr>
          <w:rFonts w:ascii="GHEA Grapalat" w:hAnsi="GHEA Grapalat"/>
          <w:lang w:val="hy-AM"/>
        </w:rPr>
        <w:t>քաղաքականությունների</w:t>
      </w:r>
      <w:proofErr w:type="spellEnd"/>
      <w:r w:rsidR="00027CF0">
        <w:rPr>
          <w:rFonts w:ascii="GHEA Grapalat" w:hAnsi="GHEA Grapalat"/>
          <w:lang w:val="hy-AM"/>
        </w:rPr>
        <w:t xml:space="preserve"> </w:t>
      </w:r>
      <w:proofErr w:type="spellStart"/>
      <w:r w:rsidR="00027CF0">
        <w:rPr>
          <w:rFonts w:ascii="GHEA Grapalat" w:hAnsi="GHEA Grapalat"/>
          <w:lang w:val="hy-AM"/>
        </w:rPr>
        <w:t>հուշագր</w:t>
      </w:r>
      <w:r w:rsidR="00027CF0">
        <w:rPr>
          <w:rFonts w:ascii="GHEA Grapalat" w:hAnsi="GHEA Grapalat"/>
          <w:lang w:val="hy-AM"/>
        </w:rPr>
        <w:t>ից</w:t>
      </w:r>
      <w:proofErr w:type="spellEnd"/>
      <w:r w:rsidR="00027CF0">
        <w:rPr>
          <w:rFonts w:ascii="GHEA Grapalat" w:hAnsi="GHEA Grapalat"/>
          <w:lang w:val="hy-AM"/>
        </w:rPr>
        <w:t xml:space="preserve"> (Memoran</w:t>
      </w:r>
      <w:proofErr w:type="spellStart"/>
      <w:r w:rsidR="00027CF0">
        <w:rPr>
          <w:rFonts w:ascii="GHEA Grapalat" w:hAnsi="GHEA Grapalat"/>
          <w:lang w:val="hy-AM"/>
        </w:rPr>
        <w:t>dum</w:t>
      </w:r>
      <w:proofErr w:type="spellEnd"/>
      <w:r w:rsidR="00027CF0">
        <w:rPr>
          <w:rFonts w:ascii="GHEA Grapalat" w:hAnsi="GHEA Grapalat"/>
          <w:lang w:val="hy-AM"/>
        </w:rPr>
        <w:t xml:space="preserve"> </w:t>
      </w:r>
      <w:proofErr w:type="spellStart"/>
      <w:r w:rsidR="00027CF0">
        <w:rPr>
          <w:rFonts w:ascii="GHEA Grapalat" w:hAnsi="GHEA Grapalat"/>
          <w:lang w:val="hy-AM"/>
        </w:rPr>
        <w:t>of</w:t>
      </w:r>
      <w:proofErr w:type="spellEnd"/>
      <w:r w:rsidR="00027CF0">
        <w:rPr>
          <w:rFonts w:ascii="GHEA Grapalat" w:hAnsi="GHEA Grapalat"/>
          <w:lang w:val="hy-AM"/>
        </w:rPr>
        <w:t xml:space="preserve"> </w:t>
      </w:r>
      <w:proofErr w:type="spellStart"/>
      <w:r w:rsidR="00027CF0">
        <w:rPr>
          <w:rFonts w:ascii="GHEA Grapalat" w:hAnsi="GHEA Grapalat"/>
          <w:lang w:val="hy-AM"/>
        </w:rPr>
        <w:t>Economic</w:t>
      </w:r>
      <w:proofErr w:type="spellEnd"/>
      <w:r w:rsidR="00027CF0">
        <w:rPr>
          <w:rFonts w:ascii="GHEA Grapalat" w:hAnsi="GHEA Grapalat"/>
          <w:lang w:val="hy-AM"/>
        </w:rPr>
        <w:t xml:space="preserve"> </w:t>
      </w:r>
      <w:proofErr w:type="spellStart"/>
      <w:r w:rsidR="00027CF0">
        <w:rPr>
          <w:rFonts w:ascii="GHEA Grapalat" w:hAnsi="GHEA Grapalat"/>
          <w:lang w:val="hy-AM"/>
        </w:rPr>
        <w:t>and</w:t>
      </w:r>
      <w:proofErr w:type="spellEnd"/>
      <w:r w:rsidR="00027CF0">
        <w:rPr>
          <w:rFonts w:ascii="GHEA Grapalat" w:hAnsi="GHEA Grapalat"/>
          <w:lang w:val="hy-AM"/>
        </w:rPr>
        <w:t xml:space="preserve"> </w:t>
      </w:r>
      <w:proofErr w:type="spellStart"/>
      <w:r w:rsidR="00027CF0">
        <w:rPr>
          <w:rFonts w:ascii="GHEA Grapalat" w:hAnsi="GHEA Grapalat"/>
          <w:lang w:val="hy-AM"/>
        </w:rPr>
        <w:t>Financial</w:t>
      </w:r>
      <w:proofErr w:type="spellEnd"/>
      <w:r w:rsidR="00027CF0">
        <w:rPr>
          <w:rFonts w:ascii="GHEA Grapalat" w:hAnsi="GHEA Grapalat"/>
          <w:lang w:val="hy-AM"/>
        </w:rPr>
        <w:t xml:space="preserve"> </w:t>
      </w:r>
      <w:proofErr w:type="spellStart"/>
      <w:r w:rsidR="00027CF0">
        <w:rPr>
          <w:rFonts w:ascii="GHEA Grapalat" w:hAnsi="GHEA Grapalat"/>
          <w:lang w:val="hy-AM"/>
        </w:rPr>
        <w:t>Policies</w:t>
      </w:r>
      <w:proofErr w:type="spellEnd"/>
      <w:r w:rsidR="00027CF0">
        <w:rPr>
          <w:rFonts w:ascii="GHEA Grapalat" w:hAnsi="GHEA Grapalat"/>
          <w:lang w:val="hy-AM"/>
        </w:rPr>
        <w:t xml:space="preserve"> - MEFP)</w:t>
      </w:r>
      <w:r w:rsidR="00027CF0">
        <w:rPr>
          <w:rFonts w:ascii="GHEA Grapalat" w:hAnsi="GHEA Grapalat"/>
          <w:lang w:val="hy-AM"/>
        </w:rPr>
        <w:t xml:space="preserve">։ </w:t>
      </w:r>
    </w:p>
    <w:sectPr w:rsidR="004A76A0" w:rsidRPr="00155F29" w:rsidSect="00361201">
      <w:headerReference w:type="default" r:id="rId8"/>
      <w:footerReference w:type="even" r:id="rId9"/>
      <w:footerReference w:type="default" r:id="rId10"/>
      <w:pgSz w:w="11906" w:h="16838"/>
      <w:pgMar w:top="993" w:right="849" w:bottom="357" w:left="6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86D9" w14:textId="77777777" w:rsidR="003C5EA7" w:rsidRDefault="003C5EA7" w:rsidP="007F35E3">
      <w:r>
        <w:separator/>
      </w:r>
    </w:p>
  </w:endnote>
  <w:endnote w:type="continuationSeparator" w:id="0">
    <w:p w14:paraId="5E5FDB45" w14:textId="77777777" w:rsidR="003C5EA7" w:rsidRDefault="003C5EA7" w:rsidP="007F35E3">
      <w:r>
        <w:continuationSeparator/>
      </w:r>
    </w:p>
  </w:endnote>
  <w:endnote w:type="continuationNotice" w:id="1">
    <w:p w14:paraId="26159FCF" w14:textId="77777777" w:rsidR="003C5EA7" w:rsidRDefault="003C5EA7" w:rsidP="007F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E03E" w14:textId="77777777" w:rsidR="00197954" w:rsidRDefault="00381D33" w:rsidP="0064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68424" w14:textId="77777777" w:rsidR="00197954" w:rsidRDefault="00197954" w:rsidP="00982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80028"/>
      <w:docPartObj>
        <w:docPartGallery w:val="Page Numbers (Bottom of Page)"/>
        <w:docPartUnique/>
      </w:docPartObj>
    </w:sdtPr>
    <w:sdtEndPr/>
    <w:sdtContent>
      <w:p w14:paraId="640AE538" w14:textId="77777777" w:rsidR="00197954" w:rsidRDefault="00381D3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5C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0888D0" w14:textId="77777777" w:rsidR="00197954" w:rsidRDefault="00197954" w:rsidP="009825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FE42" w14:textId="77777777" w:rsidR="003C5EA7" w:rsidRDefault="003C5EA7" w:rsidP="007F35E3">
      <w:r>
        <w:separator/>
      </w:r>
    </w:p>
  </w:footnote>
  <w:footnote w:type="continuationSeparator" w:id="0">
    <w:p w14:paraId="07279CE4" w14:textId="77777777" w:rsidR="003C5EA7" w:rsidRDefault="003C5EA7" w:rsidP="007F35E3">
      <w:r>
        <w:continuationSeparator/>
      </w:r>
    </w:p>
  </w:footnote>
  <w:footnote w:type="continuationNotice" w:id="1">
    <w:p w14:paraId="31A8F4E1" w14:textId="77777777" w:rsidR="003C5EA7" w:rsidRDefault="003C5EA7" w:rsidP="007F35E3"/>
  </w:footnote>
  <w:footnote w:id="2">
    <w:p w14:paraId="2A0531EC" w14:textId="77777777" w:rsidR="008F0E6E" w:rsidRPr="008E27A1" w:rsidRDefault="008F0E6E" w:rsidP="008F0E6E">
      <w:pPr>
        <w:pStyle w:val="ListParagraph"/>
        <w:tabs>
          <w:tab w:val="left" w:pos="1530"/>
        </w:tabs>
        <w:ind w:left="900"/>
        <w:jc w:val="both"/>
        <w:rPr>
          <w:rFonts w:ascii="GHEA Grapalat" w:hAnsi="GHEA Grapalat"/>
          <w:bCs/>
          <w:sz w:val="18"/>
          <w:szCs w:val="18"/>
          <w:lang w:val="hy-AM"/>
        </w:rPr>
      </w:pPr>
      <w:r w:rsidRPr="008E27A1">
        <w:rPr>
          <w:rStyle w:val="FootnoteReference"/>
          <w:sz w:val="18"/>
          <w:szCs w:val="18"/>
        </w:rPr>
        <w:footnoteRef/>
      </w:r>
      <w:hyperlink r:id="rId1" w:history="1">
        <w:r w:rsidRPr="008E27A1">
          <w:rPr>
            <w:rStyle w:val="Hyperlink"/>
            <w:rFonts w:ascii="GHEA Grapalat" w:hAnsi="GHEA Grapalat"/>
            <w:sz w:val="18"/>
            <w:szCs w:val="18"/>
            <w:lang w:val="hy-AM"/>
          </w:rPr>
          <w:t>https://www.imf.org/en/Publications/CR/Issues/2018/12/12/Republic-of-Armenia-Financial-Sector-Assessment-Program-Press-Release-Staff-Report-and-46461</w:t>
        </w:r>
      </w:hyperlink>
    </w:p>
    <w:p w14:paraId="2459039A" w14:textId="77777777" w:rsidR="008F0E6E" w:rsidRPr="008E27A1" w:rsidRDefault="008F0E6E" w:rsidP="008F0E6E">
      <w:pPr>
        <w:pStyle w:val="FootnoteText"/>
        <w:rPr>
          <w:rFonts w:ascii="Sylfaen" w:hAnsi="Sylfaen"/>
          <w:lang w:val="hy-AM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D0F4" w14:textId="77777777" w:rsidR="007F35E3" w:rsidRDefault="007F35E3" w:rsidP="0098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7148"/>
    <w:multiLevelType w:val="hybridMultilevel"/>
    <w:tmpl w:val="647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29D"/>
    <w:multiLevelType w:val="hybridMultilevel"/>
    <w:tmpl w:val="CD5E10C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2C4F5A"/>
    <w:multiLevelType w:val="hybridMultilevel"/>
    <w:tmpl w:val="398409C2"/>
    <w:lvl w:ilvl="0" w:tplc="C1C2D5E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2F04217"/>
    <w:multiLevelType w:val="hybridMultilevel"/>
    <w:tmpl w:val="7FF8F054"/>
    <w:lvl w:ilvl="0" w:tplc="DCC292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4" w15:restartNumberingAfterBreak="0">
    <w:nsid w:val="156B6111"/>
    <w:multiLevelType w:val="hybridMultilevel"/>
    <w:tmpl w:val="E3F02284"/>
    <w:lvl w:ilvl="0" w:tplc="D96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54725"/>
    <w:multiLevelType w:val="hybridMultilevel"/>
    <w:tmpl w:val="160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57A9"/>
    <w:multiLevelType w:val="hybridMultilevel"/>
    <w:tmpl w:val="0A30299E"/>
    <w:lvl w:ilvl="0" w:tplc="149E4B14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825252"/>
    <w:multiLevelType w:val="hybridMultilevel"/>
    <w:tmpl w:val="A44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780C"/>
    <w:multiLevelType w:val="hybridMultilevel"/>
    <w:tmpl w:val="7D049F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08D25D2"/>
    <w:multiLevelType w:val="hybridMultilevel"/>
    <w:tmpl w:val="5B14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1BAF"/>
    <w:multiLevelType w:val="hybridMultilevel"/>
    <w:tmpl w:val="9104B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E6F20"/>
    <w:multiLevelType w:val="hybridMultilevel"/>
    <w:tmpl w:val="E278ADB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53454A22"/>
    <w:multiLevelType w:val="hybridMultilevel"/>
    <w:tmpl w:val="6E72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08AD"/>
    <w:multiLevelType w:val="hybridMultilevel"/>
    <w:tmpl w:val="20D4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71D8A"/>
    <w:multiLevelType w:val="hybridMultilevel"/>
    <w:tmpl w:val="D550F47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 w15:restartNumberingAfterBreak="0">
    <w:nsid w:val="56195138"/>
    <w:multiLevelType w:val="hybridMultilevel"/>
    <w:tmpl w:val="0108D298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B093185"/>
    <w:multiLevelType w:val="hybridMultilevel"/>
    <w:tmpl w:val="FB1C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62013"/>
    <w:multiLevelType w:val="hybridMultilevel"/>
    <w:tmpl w:val="262859C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4160"/>
    <w:multiLevelType w:val="hybridMultilevel"/>
    <w:tmpl w:val="0A30299E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  <w:lang w:val="pt-BR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DA2EF1"/>
    <w:multiLevelType w:val="hybridMultilevel"/>
    <w:tmpl w:val="FC2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C5C3F"/>
    <w:multiLevelType w:val="hybridMultilevel"/>
    <w:tmpl w:val="282EC3D0"/>
    <w:lvl w:ilvl="0" w:tplc="DCC292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C2624D"/>
    <w:multiLevelType w:val="hybridMultilevel"/>
    <w:tmpl w:val="262859C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333F0"/>
    <w:multiLevelType w:val="hybridMultilevel"/>
    <w:tmpl w:val="76F072A0"/>
    <w:lvl w:ilvl="0" w:tplc="CBE46D12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4622462"/>
    <w:multiLevelType w:val="hybridMultilevel"/>
    <w:tmpl w:val="D7B84676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68B0717"/>
    <w:multiLevelType w:val="hybridMultilevel"/>
    <w:tmpl w:val="592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833A5"/>
    <w:multiLevelType w:val="hybridMultilevel"/>
    <w:tmpl w:val="F3D855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9F6DB3"/>
    <w:multiLevelType w:val="hybridMultilevel"/>
    <w:tmpl w:val="7B1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625ED"/>
    <w:multiLevelType w:val="hybridMultilevel"/>
    <w:tmpl w:val="48AEB59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DB6028F"/>
    <w:multiLevelType w:val="hybridMultilevel"/>
    <w:tmpl w:val="A3C07412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 w16cid:durableId="2117406315">
    <w:abstractNumId w:val="22"/>
  </w:num>
  <w:num w:numId="2" w16cid:durableId="1319902">
    <w:abstractNumId w:val="6"/>
  </w:num>
  <w:num w:numId="3" w16cid:durableId="600068456">
    <w:abstractNumId w:val="0"/>
  </w:num>
  <w:num w:numId="4" w16cid:durableId="306015573">
    <w:abstractNumId w:val="25"/>
  </w:num>
  <w:num w:numId="5" w16cid:durableId="934903730">
    <w:abstractNumId w:val="8"/>
  </w:num>
  <w:num w:numId="6" w16cid:durableId="1978024048">
    <w:abstractNumId w:val="14"/>
  </w:num>
  <w:num w:numId="7" w16cid:durableId="732387520">
    <w:abstractNumId w:val="16"/>
  </w:num>
  <w:num w:numId="8" w16cid:durableId="726149340">
    <w:abstractNumId w:val="24"/>
  </w:num>
  <w:num w:numId="9" w16cid:durableId="987367509">
    <w:abstractNumId w:val="12"/>
  </w:num>
  <w:num w:numId="10" w16cid:durableId="2091729481">
    <w:abstractNumId w:val="26"/>
  </w:num>
  <w:num w:numId="11" w16cid:durableId="328287792">
    <w:abstractNumId w:val="19"/>
  </w:num>
  <w:num w:numId="12" w16cid:durableId="25571312">
    <w:abstractNumId w:val="10"/>
  </w:num>
  <w:num w:numId="13" w16cid:durableId="1551842932">
    <w:abstractNumId w:val="9"/>
  </w:num>
  <w:num w:numId="14" w16cid:durableId="1692947775">
    <w:abstractNumId w:val="13"/>
  </w:num>
  <w:num w:numId="15" w16cid:durableId="1730154699">
    <w:abstractNumId w:val="11"/>
  </w:num>
  <w:num w:numId="16" w16cid:durableId="2074155351">
    <w:abstractNumId w:val="1"/>
  </w:num>
  <w:num w:numId="17" w16cid:durableId="35132393">
    <w:abstractNumId w:val="28"/>
  </w:num>
  <w:num w:numId="18" w16cid:durableId="1866937290">
    <w:abstractNumId w:val="3"/>
  </w:num>
  <w:num w:numId="19" w16cid:durableId="842167006">
    <w:abstractNumId w:val="5"/>
  </w:num>
  <w:num w:numId="20" w16cid:durableId="249320370">
    <w:abstractNumId w:val="20"/>
  </w:num>
  <w:num w:numId="21" w16cid:durableId="2106269697">
    <w:abstractNumId w:val="27"/>
  </w:num>
  <w:num w:numId="22" w16cid:durableId="1661227535">
    <w:abstractNumId w:val="4"/>
  </w:num>
  <w:num w:numId="23" w16cid:durableId="1265843453">
    <w:abstractNumId w:val="7"/>
  </w:num>
  <w:num w:numId="24" w16cid:durableId="155728838">
    <w:abstractNumId w:val="21"/>
  </w:num>
  <w:num w:numId="25" w16cid:durableId="1279215937">
    <w:abstractNumId w:val="2"/>
  </w:num>
  <w:num w:numId="26" w16cid:durableId="1092773772">
    <w:abstractNumId w:val="18"/>
  </w:num>
  <w:num w:numId="27" w16cid:durableId="1454978111">
    <w:abstractNumId w:val="23"/>
  </w:num>
  <w:num w:numId="28" w16cid:durableId="1579710116">
    <w:abstractNumId w:val="15"/>
  </w:num>
  <w:num w:numId="29" w16cid:durableId="1004894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3C"/>
    <w:rsid w:val="00014AEE"/>
    <w:rsid w:val="00015DDB"/>
    <w:rsid w:val="0002615C"/>
    <w:rsid w:val="00027CF0"/>
    <w:rsid w:val="00027D71"/>
    <w:rsid w:val="000417BA"/>
    <w:rsid w:val="00056379"/>
    <w:rsid w:val="00070715"/>
    <w:rsid w:val="0007278C"/>
    <w:rsid w:val="00072C82"/>
    <w:rsid w:val="00080D73"/>
    <w:rsid w:val="000918A7"/>
    <w:rsid w:val="000920C6"/>
    <w:rsid w:val="00094630"/>
    <w:rsid w:val="000C7738"/>
    <w:rsid w:val="000D21CE"/>
    <w:rsid w:val="000E0DBC"/>
    <w:rsid w:val="000E7799"/>
    <w:rsid w:val="00112138"/>
    <w:rsid w:val="00130098"/>
    <w:rsid w:val="00142A64"/>
    <w:rsid w:val="0014458F"/>
    <w:rsid w:val="00146317"/>
    <w:rsid w:val="00146CE8"/>
    <w:rsid w:val="0015150E"/>
    <w:rsid w:val="0015318E"/>
    <w:rsid w:val="00155F29"/>
    <w:rsid w:val="00160D48"/>
    <w:rsid w:val="00172585"/>
    <w:rsid w:val="001763DB"/>
    <w:rsid w:val="00197954"/>
    <w:rsid w:val="001A1E22"/>
    <w:rsid w:val="001B7810"/>
    <w:rsid w:val="001C73AA"/>
    <w:rsid w:val="001F0AB6"/>
    <w:rsid w:val="002009C8"/>
    <w:rsid w:val="0020282D"/>
    <w:rsid w:val="0020738F"/>
    <w:rsid w:val="002155A3"/>
    <w:rsid w:val="00215E1C"/>
    <w:rsid w:val="002264BC"/>
    <w:rsid w:val="00260ADB"/>
    <w:rsid w:val="00264A9C"/>
    <w:rsid w:val="0026553C"/>
    <w:rsid w:val="0029066E"/>
    <w:rsid w:val="002939FE"/>
    <w:rsid w:val="002A2089"/>
    <w:rsid w:val="002B32CD"/>
    <w:rsid w:val="002C34A2"/>
    <w:rsid w:val="002D0CEA"/>
    <w:rsid w:val="002D5093"/>
    <w:rsid w:val="002E37C7"/>
    <w:rsid w:val="002E5112"/>
    <w:rsid w:val="002E566B"/>
    <w:rsid w:val="002F38A0"/>
    <w:rsid w:val="002F4AF2"/>
    <w:rsid w:val="002F56E8"/>
    <w:rsid w:val="003131CE"/>
    <w:rsid w:val="00320B07"/>
    <w:rsid w:val="003227F3"/>
    <w:rsid w:val="00322CE8"/>
    <w:rsid w:val="00326B4E"/>
    <w:rsid w:val="00327ED6"/>
    <w:rsid w:val="003311D5"/>
    <w:rsid w:val="003312B0"/>
    <w:rsid w:val="00350988"/>
    <w:rsid w:val="00351D68"/>
    <w:rsid w:val="00361201"/>
    <w:rsid w:val="00370856"/>
    <w:rsid w:val="00374F27"/>
    <w:rsid w:val="00376943"/>
    <w:rsid w:val="00381D33"/>
    <w:rsid w:val="003A37E2"/>
    <w:rsid w:val="003C4C41"/>
    <w:rsid w:val="003C5EA7"/>
    <w:rsid w:val="003C7035"/>
    <w:rsid w:val="003D25CE"/>
    <w:rsid w:val="003F2774"/>
    <w:rsid w:val="00401C9B"/>
    <w:rsid w:val="00410BFD"/>
    <w:rsid w:val="00425554"/>
    <w:rsid w:val="00434213"/>
    <w:rsid w:val="00440229"/>
    <w:rsid w:val="00445F70"/>
    <w:rsid w:val="0044704D"/>
    <w:rsid w:val="00453CF2"/>
    <w:rsid w:val="0046179C"/>
    <w:rsid w:val="00466129"/>
    <w:rsid w:val="00485E5D"/>
    <w:rsid w:val="00491DCE"/>
    <w:rsid w:val="00492E11"/>
    <w:rsid w:val="004A5C2F"/>
    <w:rsid w:val="004A76A0"/>
    <w:rsid w:val="004B5B07"/>
    <w:rsid w:val="004C27DD"/>
    <w:rsid w:val="004D7B9F"/>
    <w:rsid w:val="004E4C6C"/>
    <w:rsid w:val="004E73FB"/>
    <w:rsid w:val="00507D64"/>
    <w:rsid w:val="005179D6"/>
    <w:rsid w:val="00531D3C"/>
    <w:rsid w:val="005419EB"/>
    <w:rsid w:val="00544F35"/>
    <w:rsid w:val="00545538"/>
    <w:rsid w:val="00550663"/>
    <w:rsid w:val="005552ED"/>
    <w:rsid w:val="0056141D"/>
    <w:rsid w:val="0057266F"/>
    <w:rsid w:val="00574B3E"/>
    <w:rsid w:val="00576FDE"/>
    <w:rsid w:val="005840A5"/>
    <w:rsid w:val="00596285"/>
    <w:rsid w:val="0059759B"/>
    <w:rsid w:val="00597D50"/>
    <w:rsid w:val="005A203A"/>
    <w:rsid w:val="005A5748"/>
    <w:rsid w:val="005B7F58"/>
    <w:rsid w:val="005C18A1"/>
    <w:rsid w:val="005D39C8"/>
    <w:rsid w:val="00600B49"/>
    <w:rsid w:val="006039E6"/>
    <w:rsid w:val="00605C9E"/>
    <w:rsid w:val="00611E65"/>
    <w:rsid w:val="006426E8"/>
    <w:rsid w:val="0065549D"/>
    <w:rsid w:val="006576FD"/>
    <w:rsid w:val="00666C29"/>
    <w:rsid w:val="006729E6"/>
    <w:rsid w:val="00676179"/>
    <w:rsid w:val="00681572"/>
    <w:rsid w:val="006B0537"/>
    <w:rsid w:val="006B6163"/>
    <w:rsid w:val="006C7E48"/>
    <w:rsid w:val="006D0587"/>
    <w:rsid w:val="006D1471"/>
    <w:rsid w:val="006E7881"/>
    <w:rsid w:val="006F376B"/>
    <w:rsid w:val="0070521C"/>
    <w:rsid w:val="00711DA3"/>
    <w:rsid w:val="00712498"/>
    <w:rsid w:val="00712D09"/>
    <w:rsid w:val="00730A42"/>
    <w:rsid w:val="00731332"/>
    <w:rsid w:val="00745AF1"/>
    <w:rsid w:val="00750252"/>
    <w:rsid w:val="00760D74"/>
    <w:rsid w:val="007615C0"/>
    <w:rsid w:val="00772374"/>
    <w:rsid w:val="0077549A"/>
    <w:rsid w:val="0078067D"/>
    <w:rsid w:val="00785204"/>
    <w:rsid w:val="007860F0"/>
    <w:rsid w:val="00793278"/>
    <w:rsid w:val="00796735"/>
    <w:rsid w:val="007A7CBC"/>
    <w:rsid w:val="007A7EB0"/>
    <w:rsid w:val="007B54F9"/>
    <w:rsid w:val="007D1E60"/>
    <w:rsid w:val="007E55A9"/>
    <w:rsid w:val="007E6D0F"/>
    <w:rsid w:val="007E7756"/>
    <w:rsid w:val="007E7B34"/>
    <w:rsid w:val="007F029D"/>
    <w:rsid w:val="007F2A47"/>
    <w:rsid w:val="007F35E3"/>
    <w:rsid w:val="007F4250"/>
    <w:rsid w:val="007F4695"/>
    <w:rsid w:val="00800834"/>
    <w:rsid w:val="008039A2"/>
    <w:rsid w:val="00826B5A"/>
    <w:rsid w:val="0083241D"/>
    <w:rsid w:val="00835B1F"/>
    <w:rsid w:val="008423B7"/>
    <w:rsid w:val="008454EA"/>
    <w:rsid w:val="0085732A"/>
    <w:rsid w:val="00872220"/>
    <w:rsid w:val="00873859"/>
    <w:rsid w:val="008939AE"/>
    <w:rsid w:val="00894E22"/>
    <w:rsid w:val="0089748C"/>
    <w:rsid w:val="00897CDD"/>
    <w:rsid w:val="008A4EFF"/>
    <w:rsid w:val="008A7A2C"/>
    <w:rsid w:val="008B23EE"/>
    <w:rsid w:val="008B51C2"/>
    <w:rsid w:val="008B66CE"/>
    <w:rsid w:val="008C4DF0"/>
    <w:rsid w:val="008C6E52"/>
    <w:rsid w:val="008D24EF"/>
    <w:rsid w:val="008E27A1"/>
    <w:rsid w:val="008E7BD0"/>
    <w:rsid w:val="008F0E6E"/>
    <w:rsid w:val="008F2683"/>
    <w:rsid w:val="0090176D"/>
    <w:rsid w:val="00905D03"/>
    <w:rsid w:val="009111A8"/>
    <w:rsid w:val="00923A73"/>
    <w:rsid w:val="00927D4B"/>
    <w:rsid w:val="00937FA7"/>
    <w:rsid w:val="0095427E"/>
    <w:rsid w:val="00960575"/>
    <w:rsid w:val="00971683"/>
    <w:rsid w:val="00974F30"/>
    <w:rsid w:val="00981789"/>
    <w:rsid w:val="00982502"/>
    <w:rsid w:val="00997D8E"/>
    <w:rsid w:val="009B4296"/>
    <w:rsid w:val="009D04C8"/>
    <w:rsid w:val="009E1A29"/>
    <w:rsid w:val="009F168D"/>
    <w:rsid w:val="00A123CC"/>
    <w:rsid w:val="00A12B9C"/>
    <w:rsid w:val="00A37CAD"/>
    <w:rsid w:val="00A43F0F"/>
    <w:rsid w:val="00A57959"/>
    <w:rsid w:val="00A643A5"/>
    <w:rsid w:val="00A65BB9"/>
    <w:rsid w:val="00A7554C"/>
    <w:rsid w:val="00A75657"/>
    <w:rsid w:val="00A7576C"/>
    <w:rsid w:val="00A82F62"/>
    <w:rsid w:val="00A91816"/>
    <w:rsid w:val="00A93358"/>
    <w:rsid w:val="00AC0271"/>
    <w:rsid w:val="00AC162E"/>
    <w:rsid w:val="00AD4010"/>
    <w:rsid w:val="00AD5C20"/>
    <w:rsid w:val="00AE5FDA"/>
    <w:rsid w:val="00B02236"/>
    <w:rsid w:val="00B04B21"/>
    <w:rsid w:val="00B17542"/>
    <w:rsid w:val="00B20825"/>
    <w:rsid w:val="00B45F01"/>
    <w:rsid w:val="00B4611F"/>
    <w:rsid w:val="00B46B09"/>
    <w:rsid w:val="00B56892"/>
    <w:rsid w:val="00B56BE3"/>
    <w:rsid w:val="00B931A8"/>
    <w:rsid w:val="00BA5F99"/>
    <w:rsid w:val="00BB58E2"/>
    <w:rsid w:val="00BC3425"/>
    <w:rsid w:val="00BC706C"/>
    <w:rsid w:val="00BC7A1D"/>
    <w:rsid w:val="00BD0E76"/>
    <w:rsid w:val="00BE3CC8"/>
    <w:rsid w:val="00BE5B8E"/>
    <w:rsid w:val="00BF4076"/>
    <w:rsid w:val="00C068B2"/>
    <w:rsid w:val="00C1551B"/>
    <w:rsid w:val="00C1650B"/>
    <w:rsid w:val="00C26E4D"/>
    <w:rsid w:val="00C2737E"/>
    <w:rsid w:val="00C27BE4"/>
    <w:rsid w:val="00C565F0"/>
    <w:rsid w:val="00C65460"/>
    <w:rsid w:val="00C775DA"/>
    <w:rsid w:val="00C93D05"/>
    <w:rsid w:val="00CA1725"/>
    <w:rsid w:val="00CB2FA1"/>
    <w:rsid w:val="00CC303E"/>
    <w:rsid w:val="00CD4107"/>
    <w:rsid w:val="00CE6C91"/>
    <w:rsid w:val="00CE74CA"/>
    <w:rsid w:val="00CF4303"/>
    <w:rsid w:val="00CF46F2"/>
    <w:rsid w:val="00CF555F"/>
    <w:rsid w:val="00D02D74"/>
    <w:rsid w:val="00D1708D"/>
    <w:rsid w:val="00D26587"/>
    <w:rsid w:val="00D30FE1"/>
    <w:rsid w:val="00D3173D"/>
    <w:rsid w:val="00D32E20"/>
    <w:rsid w:val="00D44858"/>
    <w:rsid w:val="00D47456"/>
    <w:rsid w:val="00D5016B"/>
    <w:rsid w:val="00D504D6"/>
    <w:rsid w:val="00D5138D"/>
    <w:rsid w:val="00D701C8"/>
    <w:rsid w:val="00D752E0"/>
    <w:rsid w:val="00D753B7"/>
    <w:rsid w:val="00D7695E"/>
    <w:rsid w:val="00D845F9"/>
    <w:rsid w:val="00DC529E"/>
    <w:rsid w:val="00DC7B38"/>
    <w:rsid w:val="00DF6EC8"/>
    <w:rsid w:val="00E02EF3"/>
    <w:rsid w:val="00E05AC1"/>
    <w:rsid w:val="00E11C92"/>
    <w:rsid w:val="00E200B6"/>
    <w:rsid w:val="00E23B3A"/>
    <w:rsid w:val="00E269B8"/>
    <w:rsid w:val="00E4715C"/>
    <w:rsid w:val="00E62362"/>
    <w:rsid w:val="00E720E6"/>
    <w:rsid w:val="00E72E9C"/>
    <w:rsid w:val="00E77AE5"/>
    <w:rsid w:val="00E85EC6"/>
    <w:rsid w:val="00E87783"/>
    <w:rsid w:val="00E97878"/>
    <w:rsid w:val="00EB6145"/>
    <w:rsid w:val="00EF213D"/>
    <w:rsid w:val="00EF3711"/>
    <w:rsid w:val="00F0238B"/>
    <w:rsid w:val="00F15C35"/>
    <w:rsid w:val="00F24924"/>
    <w:rsid w:val="00F539C5"/>
    <w:rsid w:val="00F6096F"/>
    <w:rsid w:val="00F74295"/>
    <w:rsid w:val="00F76D1F"/>
    <w:rsid w:val="00F80F71"/>
    <w:rsid w:val="00F90BDE"/>
    <w:rsid w:val="00F90EDB"/>
    <w:rsid w:val="00F91919"/>
    <w:rsid w:val="00F94AAF"/>
    <w:rsid w:val="00FA35C7"/>
    <w:rsid w:val="00FC6B8A"/>
    <w:rsid w:val="00FD4017"/>
    <w:rsid w:val="00FF4B4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DAFD"/>
  <w15:chartTrackingRefBased/>
  <w15:docId w15:val="{B464F3BE-C3E1-4A5B-A690-1F074AE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9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55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6553C"/>
  </w:style>
  <w:style w:type="character" w:styleId="CommentReference">
    <w:name w:val="annotation reference"/>
    <w:uiPriority w:val="99"/>
    <w:rsid w:val="007F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3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aliases w:val="List Paragraph 1,NUMBERED PARAGRAPH,List Paragraph (numbered (a)),Use Case List Paragraph,References,ReferencesCxSpLast,lp1,Bullets,Akapit z listą BS,Numbered Paragraph,Main numbered paragraph,Numbered List Paragraph,123 List Paragraph"/>
    <w:basedOn w:val="Normal"/>
    <w:link w:val="ListParagraphChar"/>
    <w:uiPriority w:val="34"/>
    <w:qFormat/>
    <w:rsid w:val="007F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3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List Paragraph 1 Char,NUMBERED PARAGRAPH Char,List Paragraph (numbered (a)) Char,Use Case List Paragraph Char,References Char,ReferencesCxSpLast Char,lp1 Char,Bullets Char,Akapit z listą BS Char,Numbered Paragraph Char"/>
    <w:link w:val="ListParagraph"/>
    <w:uiPriority w:val="34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2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2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5025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9111A8"/>
    <w:rPr>
      <w:b/>
      <w:bCs/>
    </w:rPr>
  </w:style>
  <w:style w:type="paragraph" w:styleId="NormalWeb">
    <w:name w:val="Normal (Web)"/>
    <w:basedOn w:val="Normal"/>
    <w:uiPriority w:val="99"/>
    <w:unhideWhenUsed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listparagraph">
    <w:name w:val="x_xmsolistparagraph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normal">
    <w:name w:val="x_xmsonormal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35E3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35E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F35E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F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21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7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B0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E6D0F"/>
    <w:pPr>
      <w:spacing w:after="0" w:line="240" w:lineRule="auto"/>
    </w:pPr>
  </w:style>
  <w:style w:type="paragraph" w:customStyle="1" w:styleId="xmsonormal">
    <w:name w:val="x_msonormal"/>
    <w:basedOn w:val="Normal"/>
    <w:rsid w:val="00D26587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9FE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f.org/en/Publications/CR/Issues/2018/12/12/Republic-of-Armenia-Financial-Sector-Assessment-Program-Press-Release-Staff-Report-and-4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7831-78C3-481E-853D-559CB9F6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Սվետլաննա Մալերյան</cp:lastModifiedBy>
  <cp:revision>2</cp:revision>
  <dcterms:created xsi:type="dcterms:W3CDTF">2025-08-14T05:16:00Z</dcterms:created>
  <dcterms:modified xsi:type="dcterms:W3CDTF">2025-08-14T05:16:00Z</dcterms:modified>
</cp:coreProperties>
</file>