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4FC6" w14:textId="77777777" w:rsidR="00234A2C" w:rsidRPr="00FB6B66" w:rsidRDefault="00234A2C" w:rsidP="00AA4ABD">
      <w:pPr>
        <w:spacing w:after="0" w:line="276" w:lineRule="auto"/>
        <w:jc w:val="center"/>
        <w:rPr>
          <w:b/>
          <w:szCs w:val="24"/>
          <w:lang w:val="hy-AM"/>
        </w:rPr>
      </w:pPr>
      <w:r w:rsidRPr="00FB6B66">
        <w:rPr>
          <w:b/>
          <w:szCs w:val="24"/>
          <w:lang w:val="hy-AM"/>
        </w:rPr>
        <w:t>ՀԻՄՆԱՎՈՐՈՒՄ</w:t>
      </w:r>
    </w:p>
    <w:p w14:paraId="5A175218" w14:textId="296FED99" w:rsidR="00234A2C" w:rsidRPr="00FB6B66" w:rsidRDefault="004741BD" w:rsidP="0057740E">
      <w:pPr>
        <w:autoSpaceDE w:val="0"/>
        <w:autoSpaceDN w:val="0"/>
        <w:adjustRightInd w:val="0"/>
        <w:spacing w:after="0" w:line="276" w:lineRule="auto"/>
        <w:jc w:val="center"/>
        <w:rPr>
          <w:rFonts w:cs="GHEA Grapalat"/>
          <w:b/>
          <w:szCs w:val="24"/>
          <w:lang w:val="hy-AM"/>
        </w:rPr>
      </w:pPr>
      <w:r w:rsidRPr="00FB6B66">
        <w:rPr>
          <w:rFonts w:cs="GHEA Grapalat"/>
          <w:b/>
          <w:szCs w:val="24"/>
          <w:lang w:val="hy-AM"/>
        </w:rPr>
        <w:t>«</w:t>
      </w:r>
      <w:r w:rsidR="0057740E" w:rsidRPr="0057740E">
        <w:rPr>
          <w:rFonts w:cs="GHEA Grapalat"/>
          <w:b/>
          <w:szCs w:val="24"/>
          <w:lang w:val="hy-AM"/>
        </w:rPr>
        <w:t>ԱՇԽԱՏԱՆՔԻ ՀԻԳԻԵՆԱՅԻ ԾԱՌԱՅՈՒԹՅՈՒՆՆԵՐԻ ՆՎԱԶԱԳՈՒՅՆ ԾԱՎԱԼԸ ՍԱՀՄԱՆԵԼՈՒ ՄԱՍԻՆ</w:t>
      </w:r>
      <w:r w:rsidRPr="00FB6B66">
        <w:rPr>
          <w:rFonts w:cs="GHEA Grapalat"/>
          <w:b/>
          <w:szCs w:val="24"/>
          <w:lang w:val="hy-AM"/>
        </w:rPr>
        <w:t>»</w:t>
      </w:r>
    </w:p>
    <w:p w14:paraId="4BB54387" w14:textId="3A3170BB" w:rsidR="00234A2C" w:rsidRPr="00FB6B66" w:rsidRDefault="00304A34" w:rsidP="00AA4ABD">
      <w:pPr>
        <w:spacing w:after="0" w:line="276" w:lineRule="auto"/>
        <w:jc w:val="center"/>
        <w:rPr>
          <w:rStyle w:val="Strong"/>
          <w:bCs w:val="0"/>
          <w:szCs w:val="24"/>
          <w:lang w:val="hy-AM"/>
        </w:rPr>
      </w:pPr>
      <w:r w:rsidRPr="00FB6B66">
        <w:rPr>
          <w:rStyle w:val="Strong"/>
          <w:bCs w:val="0"/>
          <w:szCs w:val="24"/>
          <w:shd w:val="clear" w:color="auto" w:fill="FFFFFF"/>
          <w:lang w:val="hy-AM"/>
        </w:rPr>
        <w:t>ՀԱՅԱՍՏԱՆԻ ՀԱՆՐԱՊԵՏՈՒԹՅԱՆ</w:t>
      </w:r>
      <w:r w:rsidRPr="00FB6B66">
        <w:rPr>
          <w:rStyle w:val="Strong"/>
          <w:szCs w:val="24"/>
          <w:shd w:val="clear" w:color="auto" w:fill="FFFFFF"/>
          <w:lang w:val="hy-AM"/>
        </w:rPr>
        <w:t xml:space="preserve"> </w:t>
      </w:r>
      <w:r w:rsidR="004741BD" w:rsidRPr="00FB6B66">
        <w:rPr>
          <w:rStyle w:val="Strong"/>
          <w:szCs w:val="24"/>
          <w:shd w:val="clear" w:color="auto" w:fill="FFFFFF"/>
          <w:lang w:val="hy-AM"/>
        </w:rPr>
        <w:t xml:space="preserve">ԿԱՌԱՎԱՐՈՒԹՅԱՆ </w:t>
      </w:r>
      <w:r w:rsidR="00234A2C" w:rsidRPr="00FB6B66">
        <w:rPr>
          <w:rStyle w:val="Strong"/>
          <w:szCs w:val="24"/>
          <w:shd w:val="clear" w:color="auto" w:fill="FFFFFF"/>
          <w:lang w:val="hy-AM"/>
        </w:rPr>
        <w:t>ՈՐՈՇՄԱՆ ՆԱԽԱԳԾԻ</w:t>
      </w:r>
    </w:p>
    <w:p w14:paraId="03EC5F99" w14:textId="77777777" w:rsidR="00234A2C" w:rsidRPr="00FB6B66" w:rsidRDefault="00234A2C" w:rsidP="00234A2C">
      <w:pPr>
        <w:pStyle w:val="ListParagraph"/>
        <w:spacing w:after="0"/>
        <w:ind w:left="0"/>
        <w:jc w:val="both"/>
        <w:rPr>
          <w:b/>
          <w:szCs w:val="24"/>
          <w:lang w:val="hy-AM"/>
        </w:rPr>
      </w:pPr>
      <w:r w:rsidRPr="00FB6B66">
        <w:rPr>
          <w:b/>
          <w:szCs w:val="24"/>
          <w:lang w:val="hy-AM"/>
        </w:rPr>
        <w:t xml:space="preserve"> </w:t>
      </w:r>
      <w:r w:rsidRPr="00FB6B66">
        <w:rPr>
          <w:b/>
          <w:szCs w:val="24"/>
          <w:lang w:val="hy-AM"/>
        </w:rPr>
        <w:tab/>
      </w:r>
    </w:p>
    <w:p w14:paraId="1E1C23FC" w14:textId="77777777" w:rsidR="00234A2C" w:rsidRPr="00FB6B66" w:rsidRDefault="00234A2C" w:rsidP="00ED101D">
      <w:pPr>
        <w:pStyle w:val="ListParagraph"/>
        <w:spacing w:after="0" w:line="360" w:lineRule="auto"/>
        <w:ind w:left="0" w:firstLine="851"/>
        <w:jc w:val="both"/>
        <w:rPr>
          <w:b/>
          <w:szCs w:val="24"/>
          <w:lang w:val="hy-AM"/>
        </w:rPr>
      </w:pPr>
      <w:r w:rsidRPr="00FB6B66">
        <w:rPr>
          <w:b/>
          <w:szCs w:val="24"/>
          <w:lang w:val="hy-AM"/>
        </w:rPr>
        <w:t>1. Ընթացիկ իրավիճակը և իրավական ակտի ընդունման անհրաժեշտությունը</w:t>
      </w:r>
    </w:p>
    <w:p w14:paraId="73614878" w14:textId="3C6BF219" w:rsidR="00614BFF" w:rsidRPr="00614BFF" w:rsidRDefault="00614BFF" w:rsidP="00ED101D">
      <w:pPr>
        <w:spacing w:after="0" w:line="360" w:lineRule="auto"/>
        <w:ind w:firstLine="851"/>
        <w:jc w:val="both"/>
        <w:rPr>
          <w:rStyle w:val="Strong"/>
          <w:b w:val="0"/>
          <w:szCs w:val="24"/>
          <w:shd w:val="clear" w:color="auto" w:fill="FFFFFF"/>
          <w:lang w:val="hy-AM"/>
        </w:rPr>
      </w:pPr>
      <w:r w:rsidRPr="00614BFF">
        <w:rPr>
          <w:rStyle w:val="Strong"/>
          <w:b w:val="0"/>
          <w:szCs w:val="24"/>
          <w:shd w:val="clear" w:color="auto" w:fill="FFFFFF"/>
          <w:lang w:val="hy-AM"/>
        </w:rPr>
        <w:t xml:space="preserve">ՀՀ աշխատանքային </w:t>
      </w:r>
      <w:r w:rsidR="00DA01B4">
        <w:rPr>
          <w:rStyle w:val="Strong"/>
          <w:b w:val="0"/>
          <w:szCs w:val="24"/>
          <w:shd w:val="clear" w:color="auto" w:fill="FFFFFF"/>
          <w:lang w:val="hy-AM"/>
        </w:rPr>
        <w:t xml:space="preserve">օրենսգրքի </w:t>
      </w:r>
      <w:r w:rsidR="00DA01B4" w:rsidRPr="00DA01B4">
        <w:rPr>
          <w:rStyle w:val="Strong"/>
          <w:b w:val="0"/>
          <w:szCs w:val="24"/>
          <w:shd w:val="clear" w:color="auto" w:fill="FFFFFF"/>
          <w:lang w:val="hy-AM"/>
        </w:rPr>
        <w:t>243</w:t>
      </w:r>
      <w:r w:rsidR="00DA01B4">
        <w:rPr>
          <w:rStyle w:val="Strong"/>
          <w:b w:val="0"/>
          <w:szCs w:val="24"/>
          <w:shd w:val="clear" w:color="auto" w:fill="FFFFFF"/>
          <w:lang w:val="hy-AM"/>
        </w:rPr>
        <w:t xml:space="preserve">-րդ </w:t>
      </w:r>
      <w:r w:rsidR="00DA01B4" w:rsidRPr="00DA01B4">
        <w:rPr>
          <w:rStyle w:val="Strong"/>
          <w:b w:val="0"/>
          <w:szCs w:val="24"/>
          <w:shd w:val="clear" w:color="auto" w:fill="FFFFFF"/>
          <w:lang w:val="hy-AM"/>
        </w:rPr>
        <w:t>հոդված</w:t>
      </w:r>
      <w:r w:rsidR="00DA01B4">
        <w:rPr>
          <w:rStyle w:val="Strong"/>
          <w:b w:val="0"/>
          <w:szCs w:val="24"/>
          <w:shd w:val="clear" w:color="auto" w:fill="FFFFFF"/>
          <w:lang w:val="hy-AM"/>
        </w:rPr>
        <w:t xml:space="preserve">ով </w:t>
      </w:r>
      <w:r w:rsidRPr="00614BFF">
        <w:rPr>
          <w:rStyle w:val="Strong"/>
          <w:b w:val="0"/>
          <w:szCs w:val="24"/>
          <w:shd w:val="clear" w:color="auto" w:fill="FFFFFF"/>
          <w:lang w:val="hy-AM"/>
        </w:rPr>
        <w:t>ամրագրված է.</w:t>
      </w:r>
    </w:p>
    <w:p w14:paraId="591C1F9A" w14:textId="288EC08F" w:rsidR="00614BFF" w:rsidRDefault="00614BFF" w:rsidP="00ED101D">
      <w:pPr>
        <w:spacing w:after="0" w:line="360" w:lineRule="auto"/>
        <w:ind w:firstLine="851"/>
        <w:jc w:val="both"/>
        <w:rPr>
          <w:rStyle w:val="Strong"/>
          <w:b w:val="0"/>
          <w:szCs w:val="24"/>
          <w:shd w:val="clear" w:color="auto" w:fill="FFFFFF"/>
          <w:lang w:val="hy-AM"/>
        </w:rPr>
      </w:pPr>
      <w:r w:rsidRPr="00614BFF">
        <w:rPr>
          <w:rStyle w:val="Strong"/>
          <w:b w:val="0"/>
          <w:szCs w:val="24"/>
          <w:shd w:val="clear" w:color="auto" w:fill="FFFFFF"/>
          <w:lang w:val="hy-AM"/>
        </w:rPr>
        <w:t>«2.</w:t>
      </w:r>
      <w:r w:rsidRPr="00614BFF">
        <w:rPr>
          <w:rStyle w:val="Strong"/>
          <w:b w:val="0"/>
          <w:szCs w:val="24"/>
          <w:shd w:val="clear" w:color="auto" w:fill="FFFFFF"/>
          <w:lang w:val="hy-AM"/>
        </w:rPr>
        <w:tab/>
        <w:t>Աշխատողների անվտանգությունը և առողջության պահպանությունը պարտավոր է ապահովել գործատուն: Հաշվի առնելով աշխատողների համար արտադրության կամ աշխատանքի վտանգավորության աստիճանը` գործատուն ներգրավում է աշխատողների անվտանգության ապահովման և առողջության պահպանման որակավորված ծառայություն կամ այդ գործառույթն իրականացնում է անձամբ:»:</w:t>
      </w:r>
    </w:p>
    <w:p w14:paraId="405EA0A7" w14:textId="20B0EF95" w:rsidR="003C27AB" w:rsidRDefault="000237BE" w:rsidP="00ED101D">
      <w:pPr>
        <w:spacing w:after="0" w:line="360" w:lineRule="auto"/>
        <w:ind w:firstLine="851"/>
        <w:jc w:val="both"/>
        <w:rPr>
          <w:rStyle w:val="Strong"/>
          <w:b w:val="0"/>
          <w:szCs w:val="24"/>
          <w:shd w:val="clear" w:color="auto" w:fill="FFFFFF"/>
          <w:lang w:val="hy-AM"/>
        </w:rPr>
      </w:pPr>
      <w:r w:rsidRPr="00FB6B66">
        <w:rPr>
          <w:rStyle w:val="Strong"/>
          <w:b w:val="0"/>
          <w:szCs w:val="24"/>
          <w:shd w:val="clear" w:color="auto" w:fill="FFFFFF"/>
          <w:lang w:val="hy-AM"/>
        </w:rPr>
        <w:t>«Հանրային առողջապահության մասին» Հայաստանի Հանրապետության 2024 թվականի փետրվարի 28-ի ՀՕ-114-Ն օրենքի 51-րդ հոդվածի</w:t>
      </w:r>
      <w:r w:rsidR="0057740E">
        <w:rPr>
          <w:rStyle w:val="Strong"/>
          <w:b w:val="0"/>
          <w:szCs w:val="24"/>
          <w:shd w:val="clear" w:color="auto" w:fill="FFFFFF"/>
          <w:lang w:val="hy-AM"/>
        </w:rPr>
        <w:t xml:space="preserve"> </w:t>
      </w:r>
      <w:r w:rsidR="003C27AB">
        <w:rPr>
          <w:rStyle w:val="Strong"/>
          <w:b w:val="0"/>
          <w:szCs w:val="24"/>
          <w:shd w:val="clear" w:color="auto" w:fill="FFFFFF"/>
          <w:lang w:val="hy-AM"/>
        </w:rPr>
        <w:t>2</w:t>
      </w:r>
      <w:r w:rsidRPr="00FB6B66">
        <w:rPr>
          <w:rStyle w:val="Strong"/>
          <w:b w:val="0"/>
          <w:szCs w:val="24"/>
          <w:shd w:val="clear" w:color="auto" w:fill="FFFFFF"/>
          <w:lang w:val="hy-AM"/>
        </w:rPr>
        <w:t xml:space="preserve">-րդ մասով </w:t>
      </w:r>
      <w:r w:rsidR="003C27AB">
        <w:rPr>
          <w:rStyle w:val="Strong"/>
          <w:b w:val="0"/>
          <w:szCs w:val="24"/>
          <w:shd w:val="clear" w:color="auto" w:fill="FFFFFF"/>
          <w:lang w:val="hy-AM"/>
        </w:rPr>
        <w:t xml:space="preserve">սահմանվել է </w:t>
      </w:r>
      <w:r w:rsidR="003C27AB" w:rsidRPr="003274D1">
        <w:rPr>
          <w:rStyle w:val="Strong"/>
          <w:b w:val="0"/>
          <w:szCs w:val="24"/>
          <w:shd w:val="clear" w:color="auto" w:fill="FFFFFF"/>
          <w:lang w:val="hy-AM"/>
        </w:rPr>
        <w:t>բժշկական օգնության և սպասարկման ոչ բուժական բնույթի լիցենզավորման ենթակա գործունեության</w:t>
      </w:r>
      <w:r w:rsidR="003C27AB">
        <w:rPr>
          <w:rStyle w:val="Strong"/>
          <w:b w:val="0"/>
          <w:szCs w:val="24"/>
          <w:shd w:val="clear" w:color="auto" w:fill="FFFFFF"/>
          <w:lang w:val="hy-AM"/>
        </w:rPr>
        <w:t xml:space="preserve"> «</w:t>
      </w:r>
      <w:r w:rsidR="003C27AB" w:rsidRPr="003274D1">
        <w:rPr>
          <w:rStyle w:val="Strong"/>
          <w:b w:val="0"/>
          <w:szCs w:val="24"/>
          <w:shd w:val="clear" w:color="auto" w:fill="FFFFFF"/>
          <w:lang w:val="hy-AM"/>
        </w:rPr>
        <w:t>աշխատանքի հիգիենայի ծառայությունների մատուցում</w:t>
      </w:r>
      <w:r w:rsidR="003C27AB">
        <w:rPr>
          <w:rStyle w:val="Strong"/>
          <w:b w:val="0"/>
          <w:szCs w:val="24"/>
          <w:shd w:val="clear" w:color="auto" w:fill="FFFFFF"/>
          <w:lang w:val="hy-AM"/>
        </w:rPr>
        <w:t xml:space="preserve">» տեսակը, որը </w:t>
      </w:r>
      <w:r w:rsidR="003C27AB" w:rsidRPr="003274D1">
        <w:rPr>
          <w:rStyle w:val="Strong"/>
          <w:b w:val="0"/>
          <w:szCs w:val="24"/>
          <w:shd w:val="clear" w:color="auto" w:fill="FFFFFF"/>
          <w:lang w:val="hy-AM"/>
        </w:rPr>
        <w:t xml:space="preserve">Հայաստանի Հանրապետության կառավարության 2024 թվականի դեկտեմբերի 19-ի N 2005-Ն որոշմամբ </w:t>
      </w:r>
      <w:r w:rsidR="003C27AB">
        <w:rPr>
          <w:rStyle w:val="Strong"/>
          <w:b w:val="0"/>
          <w:szCs w:val="24"/>
          <w:shd w:val="clear" w:color="auto" w:fill="FFFFFF"/>
          <w:lang w:val="hy-AM"/>
        </w:rPr>
        <w:t xml:space="preserve">լրացվել է նաև </w:t>
      </w:r>
      <w:r w:rsidR="003C27AB" w:rsidRPr="003274D1">
        <w:rPr>
          <w:rStyle w:val="Strong"/>
          <w:b w:val="0"/>
          <w:szCs w:val="24"/>
          <w:shd w:val="clear" w:color="auto" w:fill="FFFFFF"/>
          <w:lang w:val="hy-AM"/>
        </w:rPr>
        <w:t>Հայաստանի Հանրապետության կառավարության 2008 թվականի մարտի 27-ի N 276-Ն որոշման մեջ</w:t>
      </w:r>
      <w:r w:rsidR="003C27AB">
        <w:rPr>
          <w:rStyle w:val="Strong"/>
          <w:b w:val="0"/>
          <w:szCs w:val="24"/>
          <w:shd w:val="clear" w:color="auto" w:fill="FFFFFF"/>
          <w:lang w:val="hy-AM"/>
        </w:rPr>
        <w:t>։</w:t>
      </w:r>
    </w:p>
    <w:p w14:paraId="194DEA2F" w14:textId="54F12CB0" w:rsidR="0057740E" w:rsidRDefault="003C27AB" w:rsidP="00ED101D">
      <w:pPr>
        <w:spacing w:after="0" w:line="360" w:lineRule="auto"/>
        <w:ind w:firstLine="851"/>
        <w:jc w:val="both"/>
        <w:rPr>
          <w:rStyle w:val="Strong"/>
          <w:b w:val="0"/>
          <w:szCs w:val="24"/>
          <w:shd w:val="clear" w:color="auto" w:fill="FFFFFF"/>
          <w:lang w:val="hy-AM"/>
        </w:rPr>
      </w:pPr>
      <w:r>
        <w:rPr>
          <w:rStyle w:val="Strong"/>
          <w:b w:val="0"/>
          <w:szCs w:val="24"/>
          <w:shd w:val="clear" w:color="auto" w:fill="FFFFFF"/>
          <w:lang w:val="hy-AM"/>
        </w:rPr>
        <w:t>Վերոնշյալ հոդվածի 4-րդ մասով սահման</w:t>
      </w:r>
      <w:r w:rsidR="00530A82">
        <w:rPr>
          <w:rStyle w:val="Strong"/>
          <w:b w:val="0"/>
          <w:szCs w:val="24"/>
          <w:shd w:val="clear" w:color="auto" w:fill="FFFFFF"/>
          <w:lang w:val="hy-AM"/>
        </w:rPr>
        <w:t>վ</w:t>
      </w:r>
      <w:r>
        <w:rPr>
          <w:rStyle w:val="Strong"/>
          <w:b w:val="0"/>
          <w:szCs w:val="24"/>
          <w:shd w:val="clear" w:color="auto" w:fill="FFFFFF"/>
          <w:lang w:val="hy-AM"/>
        </w:rPr>
        <w:t xml:space="preserve">ած է, որ </w:t>
      </w:r>
      <w:r w:rsidR="0057740E" w:rsidRPr="0057740E">
        <w:rPr>
          <w:rStyle w:val="Strong"/>
          <w:b w:val="0"/>
          <w:szCs w:val="24"/>
          <w:shd w:val="clear" w:color="auto" w:fill="FFFFFF"/>
          <w:lang w:val="hy-AM"/>
        </w:rPr>
        <w:t xml:space="preserve">աշխատանքի հիգիենայի ծառայությունների նվազագույն </w:t>
      </w:r>
      <w:r w:rsidR="0057740E" w:rsidRPr="0037569E">
        <w:rPr>
          <w:rStyle w:val="Strong"/>
          <w:b w:val="0"/>
          <w:szCs w:val="24"/>
          <w:shd w:val="clear" w:color="auto" w:fill="FFFFFF"/>
          <w:lang w:val="hy-AM"/>
        </w:rPr>
        <w:t>ծավալը սահմանում է</w:t>
      </w:r>
      <w:r w:rsidR="0057740E" w:rsidRPr="0057740E">
        <w:rPr>
          <w:rStyle w:val="Strong"/>
          <w:b w:val="0"/>
          <w:szCs w:val="24"/>
          <w:shd w:val="clear" w:color="auto" w:fill="FFFFFF"/>
          <w:lang w:val="hy-AM"/>
        </w:rPr>
        <w:t xml:space="preserve"> Կառավարությունը</w:t>
      </w:r>
      <w:r>
        <w:rPr>
          <w:rStyle w:val="Strong"/>
          <w:b w:val="0"/>
          <w:szCs w:val="24"/>
          <w:shd w:val="clear" w:color="auto" w:fill="FFFFFF"/>
          <w:lang w:val="hy-AM"/>
        </w:rPr>
        <w:t>։</w:t>
      </w:r>
    </w:p>
    <w:p w14:paraId="2CC21116" w14:textId="4A4D6DE1" w:rsidR="001963B0" w:rsidRDefault="001963B0" w:rsidP="00ED101D">
      <w:pPr>
        <w:spacing w:after="0" w:line="360" w:lineRule="auto"/>
        <w:ind w:firstLine="851"/>
        <w:jc w:val="both"/>
        <w:rPr>
          <w:rStyle w:val="Strong"/>
          <w:b w:val="0"/>
          <w:shd w:val="clear" w:color="auto" w:fill="FFFFFF"/>
          <w:lang w:val="hy-AM"/>
        </w:rPr>
      </w:pPr>
      <w:r>
        <w:rPr>
          <w:szCs w:val="24"/>
          <w:lang w:val="hy-AM"/>
        </w:rPr>
        <w:t>Նախագծի ընդունումը</w:t>
      </w:r>
      <w:r w:rsidR="00151C34" w:rsidRPr="0057740E">
        <w:rPr>
          <w:szCs w:val="24"/>
          <w:lang w:val="hy-AM"/>
        </w:rPr>
        <w:t xml:space="preserve"> </w:t>
      </w:r>
      <w:r w:rsidR="00151C34" w:rsidRPr="00FB6B66">
        <w:rPr>
          <w:rStyle w:val="Strong"/>
          <w:b w:val="0"/>
          <w:shd w:val="clear" w:color="auto" w:fill="FFFFFF"/>
          <w:lang w:val="hy-AM"/>
        </w:rPr>
        <w:t xml:space="preserve">պայմանավորված </w:t>
      </w:r>
      <w:r>
        <w:rPr>
          <w:rStyle w:val="Strong"/>
          <w:b w:val="0"/>
          <w:shd w:val="clear" w:color="auto" w:fill="FFFFFF"/>
          <w:lang w:val="hy-AM"/>
        </w:rPr>
        <w:t>է</w:t>
      </w:r>
      <w:r w:rsidR="00151C34" w:rsidRPr="00FB6B66">
        <w:rPr>
          <w:rStyle w:val="Strong"/>
          <w:b w:val="0"/>
          <w:shd w:val="clear" w:color="auto" w:fill="FFFFFF"/>
          <w:lang w:val="hy-AM"/>
        </w:rPr>
        <w:t xml:space="preserve"> </w:t>
      </w:r>
      <w:r>
        <w:rPr>
          <w:rStyle w:val="Strong"/>
          <w:b w:val="0"/>
          <w:shd w:val="clear" w:color="auto" w:fill="FFFFFF"/>
          <w:lang w:val="hy-AM"/>
        </w:rPr>
        <w:t xml:space="preserve">վերը նշված </w:t>
      </w:r>
      <w:r w:rsidR="003274D1">
        <w:rPr>
          <w:rStyle w:val="Strong"/>
          <w:b w:val="0"/>
          <w:shd w:val="clear" w:color="auto" w:fill="FFFFFF"/>
          <w:lang w:val="hy-AM"/>
        </w:rPr>
        <w:t xml:space="preserve">իրավական ակտերի </w:t>
      </w:r>
      <w:r w:rsidR="00513D4E">
        <w:rPr>
          <w:rStyle w:val="Strong"/>
          <w:b w:val="0"/>
          <w:shd w:val="clear" w:color="auto" w:fill="FFFFFF"/>
          <w:lang w:val="hy-AM"/>
        </w:rPr>
        <w:t>համատեքստում</w:t>
      </w:r>
      <w:r>
        <w:rPr>
          <w:rStyle w:val="Strong"/>
          <w:b w:val="0"/>
          <w:shd w:val="clear" w:color="auto" w:fill="FFFFFF"/>
          <w:lang w:val="hy-AM"/>
        </w:rPr>
        <w:t xml:space="preserve"> </w:t>
      </w:r>
      <w:r w:rsidR="003274D1" w:rsidRPr="003274D1">
        <w:rPr>
          <w:rStyle w:val="Strong"/>
          <w:b w:val="0"/>
          <w:shd w:val="clear" w:color="auto" w:fill="FFFFFF"/>
          <w:lang w:val="hy-AM"/>
        </w:rPr>
        <w:t>բժշկական օգնության և սպասարկման ոչ բուժական բնույթի լիցենզավորման ենթակա գործունեության</w:t>
      </w:r>
      <w:r w:rsidR="003274D1">
        <w:rPr>
          <w:rStyle w:val="Strong"/>
          <w:b w:val="0"/>
          <w:shd w:val="clear" w:color="auto" w:fill="FFFFFF"/>
          <w:lang w:val="hy-AM"/>
        </w:rPr>
        <w:t xml:space="preserve"> «</w:t>
      </w:r>
      <w:r w:rsidR="003274D1" w:rsidRPr="003274D1">
        <w:rPr>
          <w:rStyle w:val="Strong"/>
          <w:b w:val="0"/>
          <w:shd w:val="clear" w:color="auto" w:fill="FFFFFF"/>
          <w:lang w:val="hy-AM"/>
        </w:rPr>
        <w:t xml:space="preserve">աշխատանքի հիգիենայի ծառայությունների մատուցում» </w:t>
      </w:r>
      <w:r w:rsidR="003274D1">
        <w:rPr>
          <w:rStyle w:val="Strong"/>
          <w:b w:val="0"/>
          <w:shd w:val="clear" w:color="auto" w:fill="FFFFFF"/>
          <w:lang w:val="hy-AM"/>
        </w:rPr>
        <w:t xml:space="preserve">տեսակի կիրարկման համար անհրաժեշտ </w:t>
      </w:r>
      <w:r w:rsidRPr="001963B0">
        <w:rPr>
          <w:rStyle w:val="Strong"/>
          <w:b w:val="0"/>
          <w:shd w:val="clear" w:color="auto" w:fill="FFFFFF"/>
          <w:lang w:val="hy-AM"/>
        </w:rPr>
        <w:t xml:space="preserve">աշխատանքի հիգիենայի ծառայությունների նվազագույն </w:t>
      </w:r>
      <w:r>
        <w:rPr>
          <w:rStyle w:val="Strong"/>
          <w:b w:val="0"/>
          <w:shd w:val="clear" w:color="auto" w:fill="FFFFFF"/>
          <w:lang w:val="hy-AM"/>
        </w:rPr>
        <w:t xml:space="preserve">ծավալի </w:t>
      </w:r>
      <w:r w:rsidR="00CF2F7E">
        <w:rPr>
          <w:rStyle w:val="Strong"/>
          <w:b w:val="0"/>
          <w:shd w:val="clear" w:color="auto" w:fill="FFFFFF"/>
          <w:lang w:val="hy-AM"/>
        </w:rPr>
        <w:t>սահմանման</w:t>
      </w:r>
      <w:r w:rsidR="003C27AB">
        <w:rPr>
          <w:rStyle w:val="Strong"/>
          <w:b w:val="0"/>
          <w:shd w:val="clear" w:color="auto" w:fill="FFFFFF"/>
          <w:lang w:val="hy-AM"/>
        </w:rPr>
        <w:t xml:space="preserve"> անհրաժեշտությամբ</w:t>
      </w:r>
      <w:r w:rsidR="003274D1">
        <w:rPr>
          <w:rStyle w:val="Strong"/>
          <w:b w:val="0"/>
          <w:shd w:val="clear" w:color="auto" w:fill="FFFFFF"/>
          <w:lang w:val="hy-AM"/>
        </w:rPr>
        <w:t>:</w:t>
      </w:r>
    </w:p>
    <w:p w14:paraId="596A0194" w14:textId="77777777" w:rsidR="000F3513" w:rsidRPr="00FB6B66" w:rsidRDefault="000F3513" w:rsidP="00ED101D">
      <w:pPr>
        <w:spacing w:after="0" w:line="360" w:lineRule="auto"/>
        <w:ind w:firstLine="851"/>
        <w:jc w:val="both"/>
        <w:rPr>
          <w:bCs/>
          <w:shd w:val="clear" w:color="auto" w:fill="FFFFFF"/>
          <w:lang w:val="hy-AM"/>
        </w:rPr>
      </w:pPr>
    </w:p>
    <w:p w14:paraId="51F657B1" w14:textId="2CF6C0D1" w:rsidR="00234A2C" w:rsidRPr="00FB6B66" w:rsidRDefault="00C5611A" w:rsidP="00ED101D">
      <w:pPr>
        <w:spacing w:after="0" w:line="360" w:lineRule="auto"/>
        <w:ind w:firstLine="851"/>
        <w:jc w:val="both"/>
        <w:rPr>
          <w:rFonts w:cs="Courier New"/>
          <w:b/>
          <w:szCs w:val="24"/>
          <w:lang w:val="hy-AM"/>
        </w:rPr>
      </w:pPr>
      <w:r>
        <w:rPr>
          <w:szCs w:val="24"/>
          <w:lang w:val="hy-AM"/>
        </w:rPr>
        <w:t xml:space="preserve"> </w:t>
      </w:r>
      <w:r w:rsidR="00234A2C" w:rsidRPr="00FB6B66">
        <w:rPr>
          <w:b/>
          <w:szCs w:val="24"/>
          <w:lang w:val="hy-AM"/>
        </w:rPr>
        <w:t xml:space="preserve">2. </w:t>
      </w:r>
      <w:r w:rsidR="00234A2C" w:rsidRPr="00FB6B66">
        <w:rPr>
          <w:rFonts w:cs="Courier New"/>
          <w:b/>
          <w:szCs w:val="24"/>
          <w:lang w:val="hy-AM"/>
        </w:rPr>
        <w:t>Առաջարկվող կարգավորումների</w:t>
      </w:r>
      <w:r w:rsidR="00502D59" w:rsidRPr="00FB6B66">
        <w:rPr>
          <w:rFonts w:cs="Courier New"/>
          <w:b/>
          <w:szCs w:val="24"/>
          <w:lang w:val="hy-AM"/>
        </w:rPr>
        <w:t xml:space="preserve"> նպատակը և</w:t>
      </w:r>
      <w:r w:rsidR="00234A2C" w:rsidRPr="00FB6B66">
        <w:rPr>
          <w:rFonts w:cs="Courier New"/>
          <w:b/>
          <w:szCs w:val="24"/>
          <w:lang w:val="hy-AM"/>
        </w:rPr>
        <w:t xml:space="preserve"> բնույթը</w:t>
      </w:r>
    </w:p>
    <w:p w14:paraId="5F9616FC" w14:textId="30107CBD" w:rsidR="001963B0" w:rsidRPr="0037569E" w:rsidRDefault="009B6C2D" w:rsidP="00ED101D">
      <w:pPr>
        <w:spacing w:after="0" w:line="360" w:lineRule="auto"/>
        <w:ind w:firstLine="851"/>
        <w:jc w:val="both"/>
        <w:rPr>
          <w:rStyle w:val="Strong"/>
          <w:b w:val="0"/>
          <w:shd w:val="clear" w:color="auto" w:fill="FFFFFF"/>
          <w:lang w:val="hy-AM"/>
        </w:rPr>
      </w:pPr>
      <w:r w:rsidRPr="00FB6B66">
        <w:rPr>
          <w:szCs w:val="24"/>
          <w:lang w:val="hy-AM"/>
        </w:rPr>
        <w:lastRenderedPageBreak/>
        <w:t>Նախագ</w:t>
      </w:r>
      <w:r w:rsidR="00151C34" w:rsidRPr="00FB6B66">
        <w:rPr>
          <w:szCs w:val="24"/>
          <w:lang w:val="hy-AM"/>
        </w:rPr>
        <w:t xml:space="preserve">ծով </w:t>
      </w:r>
      <w:r w:rsidR="001963B0">
        <w:rPr>
          <w:szCs w:val="24"/>
          <w:lang w:val="hy-AM"/>
        </w:rPr>
        <w:t xml:space="preserve">առաջարկվում է հաստատել </w:t>
      </w:r>
      <w:r w:rsidR="001963B0" w:rsidRPr="001963B0">
        <w:rPr>
          <w:szCs w:val="24"/>
          <w:lang w:val="hy-AM"/>
        </w:rPr>
        <w:t xml:space="preserve">աշխատանքի հիգիենայի ծառայությունների </w:t>
      </w:r>
      <w:r w:rsidR="001963B0" w:rsidRPr="00736768">
        <w:rPr>
          <w:rStyle w:val="Strong"/>
          <w:b w:val="0"/>
          <w:shd w:val="clear" w:color="auto" w:fill="FFFFFF"/>
          <w:lang w:val="hy-AM"/>
        </w:rPr>
        <w:t xml:space="preserve">նվազագույն </w:t>
      </w:r>
      <w:r w:rsidR="001963B0" w:rsidRPr="0037569E">
        <w:rPr>
          <w:rStyle w:val="Strong"/>
          <w:b w:val="0"/>
          <w:shd w:val="clear" w:color="auto" w:fill="FFFFFF"/>
          <w:lang w:val="hy-AM"/>
        </w:rPr>
        <w:t xml:space="preserve">ծավալը, </w:t>
      </w:r>
      <w:r w:rsidR="00736768" w:rsidRPr="0037569E">
        <w:rPr>
          <w:rStyle w:val="Strong"/>
          <w:b w:val="0"/>
          <w:shd w:val="clear" w:color="auto" w:fill="FFFFFF"/>
          <w:lang w:val="hy-AM"/>
        </w:rPr>
        <w:t>մասնավորապես.</w:t>
      </w:r>
    </w:p>
    <w:p w14:paraId="35ED3CCF" w14:textId="77777777" w:rsidR="00736768" w:rsidRPr="00736768" w:rsidRDefault="00736768" w:rsidP="00ED101D">
      <w:pPr>
        <w:spacing w:after="0" w:line="360" w:lineRule="auto"/>
        <w:ind w:firstLine="851"/>
        <w:jc w:val="both"/>
        <w:rPr>
          <w:rStyle w:val="Strong"/>
          <w:b w:val="0"/>
          <w:shd w:val="clear" w:color="auto" w:fill="FFFFFF"/>
          <w:lang w:val="hy-AM"/>
        </w:rPr>
      </w:pPr>
      <w:r w:rsidRPr="00736768">
        <w:rPr>
          <w:rStyle w:val="Strong"/>
          <w:b w:val="0"/>
          <w:shd w:val="clear" w:color="auto" w:fill="FFFFFF"/>
          <w:lang w:val="hy-AM"/>
        </w:rPr>
        <w:t>1)</w:t>
      </w:r>
      <w:r w:rsidRPr="00736768">
        <w:rPr>
          <w:rStyle w:val="Strong"/>
          <w:b w:val="0"/>
          <w:shd w:val="clear" w:color="auto" w:fill="FFFFFF"/>
          <w:lang w:val="hy-AM"/>
        </w:rPr>
        <w:tab/>
        <w:t>աշխատողների աշխատանքի պայմանների ուսումնասիրություն.</w:t>
      </w:r>
    </w:p>
    <w:p w14:paraId="6942A4D1" w14:textId="77777777" w:rsidR="00736768" w:rsidRPr="00736768" w:rsidRDefault="00736768" w:rsidP="00ED101D">
      <w:pPr>
        <w:spacing w:after="0" w:line="360" w:lineRule="auto"/>
        <w:ind w:firstLine="851"/>
        <w:jc w:val="both"/>
        <w:rPr>
          <w:rStyle w:val="Strong"/>
          <w:b w:val="0"/>
          <w:shd w:val="clear" w:color="auto" w:fill="FFFFFF"/>
          <w:lang w:val="hy-AM"/>
        </w:rPr>
      </w:pPr>
      <w:r w:rsidRPr="00736768">
        <w:rPr>
          <w:rStyle w:val="Strong"/>
          <w:b w:val="0"/>
          <w:shd w:val="clear" w:color="auto" w:fill="FFFFFF"/>
          <w:lang w:val="hy-AM"/>
        </w:rPr>
        <w:t>2)</w:t>
      </w:r>
      <w:r w:rsidRPr="00736768">
        <w:rPr>
          <w:rStyle w:val="Strong"/>
          <w:b w:val="0"/>
          <w:shd w:val="clear" w:color="auto" w:fill="FFFFFF"/>
          <w:lang w:val="hy-AM"/>
        </w:rPr>
        <w:tab/>
        <w:t>արտադրական միջավայրի և աշխատանքային գործընթացի ֆիզիկական, քիմիական և կենսաբանական գործոնների ուսումնասիրություն, հանրային առողջապահական նորմատիվներին համապատասխանության որոշում՝ լաբորատոր-գործիքային հետազոտությունների միջոցով.</w:t>
      </w:r>
    </w:p>
    <w:p w14:paraId="3CB9DB0A" w14:textId="77777777" w:rsidR="00736768" w:rsidRPr="00736768" w:rsidRDefault="00736768" w:rsidP="00ED101D">
      <w:pPr>
        <w:spacing w:after="0" w:line="360" w:lineRule="auto"/>
        <w:ind w:firstLine="851"/>
        <w:jc w:val="both"/>
        <w:rPr>
          <w:rStyle w:val="Strong"/>
          <w:b w:val="0"/>
          <w:shd w:val="clear" w:color="auto" w:fill="FFFFFF"/>
          <w:lang w:val="hy-AM"/>
        </w:rPr>
      </w:pPr>
      <w:r w:rsidRPr="00736768">
        <w:rPr>
          <w:rStyle w:val="Strong"/>
          <w:b w:val="0"/>
          <w:shd w:val="clear" w:color="auto" w:fill="FFFFFF"/>
          <w:lang w:val="hy-AM"/>
        </w:rPr>
        <w:t>3)</w:t>
      </w:r>
      <w:r w:rsidRPr="00736768">
        <w:rPr>
          <w:rStyle w:val="Strong"/>
          <w:b w:val="0"/>
          <w:shd w:val="clear" w:color="auto" w:fill="FFFFFF"/>
          <w:lang w:val="hy-AM"/>
        </w:rPr>
        <w:tab/>
        <w:t>աշխատողների աշխատանքի ծանրության և լարվածության ուսումնասիրություն.</w:t>
      </w:r>
    </w:p>
    <w:p w14:paraId="4114E4CD" w14:textId="77777777" w:rsidR="00736768" w:rsidRPr="00736768" w:rsidRDefault="00736768" w:rsidP="00ED101D">
      <w:pPr>
        <w:spacing w:after="0" w:line="360" w:lineRule="auto"/>
        <w:ind w:firstLine="851"/>
        <w:jc w:val="both"/>
        <w:rPr>
          <w:rStyle w:val="Strong"/>
          <w:b w:val="0"/>
          <w:shd w:val="clear" w:color="auto" w:fill="FFFFFF"/>
          <w:lang w:val="hy-AM"/>
        </w:rPr>
      </w:pPr>
      <w:r w:rsidRPr="00736768">
        <w:rPr>
          <w:rStyle w:val="Strong"/>
          <w:b w:val="0"/>
          <w:shd w:val="clear" w:color="auto" w:fill="FFFFFF"/>
          <w:lang w:val="hy-AM"/>
        </w:rPr>
        <w:t>4)</w:t>
      </w:r>
      <w:r w:rsidRPr="00736768">
        <w:rPr>
          <w:rStyle w:val="Strong"/>
          <w:b w:val="0"/>
          <w:shd w:val="clear" w:color="auto" w:fill="FFFFFF"/>
          <w:lang w:val="hy-AM"/>
        </w:rPr>
        <w:tab/>
        <w:t>աշխատողների աշխատանքի պայմանների գնահատում.</w:t>
      </w:r>
    </w:p>
    <w:p w14:paraId="599A61F7" w14:textId="77777777" w:rsidR="00736768" w:rsidRPr="00736768" w:rsidRDefault="00736768" w:rsidP="00ED101D">
      <w:pPr>
        <w:spacing w:after="0" w:line="360" w:lineRule="auto"/>
        <w:ind w:firstLine="851"/>
        <w:jc w:val="both"/>
        <w:rPr>
          <w:rStyle w:val="Strong"/>
          <w:b w:val="0"/>
          <w:shd w:val="clear" w:color="auto" w:fill="FFFFFF"/>
          <w:lang w:val="hy-AM"/>
        </w:rPr>
      </w:pPr>
      <w:r w:rsidRPr="00736768">
        <w:rPr>
          <w:rStyle w:val="Strong"/>
          <w:b w:val="0"/>
          <w:shd w:val="clear" w:color="auto" w:fill="FFFFFF"/>
          <w:lang w:val="hy-AM"/>
        </w:rPr>
        <w:t>5)</w:t>
      </w:r>
      <w:r w:rsidRPr="00736768">
        <w:rPr>
          <w:rStyle w:val="Strong"/>
          <w:b w:val="0"/>
          <w:shd w:val="clear" w:color="auto" w:fill="FFFFFF"/>
          <w:lang w:val="hy-AM"/>
        </w:rPr>
        <w:tab/>
        <w:t>աշխատողների մասնագիտական ռիսկերի գնահատում.</w:t>
      </w:r>
    </w:p>
    <w:p w14:paraId="12AD243D" w14:textId="77777777" w:rsidR="00736768" w:rsidRPr="00736768" w:rsidRDefault="00736768" w:rsidP="00ED101D">
      <w:pPr>
        <w:spacing w:after="0" w:line="360" w:lineRule="auto"/>
        <w:ind w:firstLine="851"/>
        <w:jc w:val="both"/>
        <w:rPr>
          <w:rStyle w:val="Strong"/>
          <w:b w:val="0"/>
          <w:shd w:val="clear" w:color="auto" w:fill="FFFFFF"/>
          <w:lang w:val="hy-AM"/>
        </w:rPr>
      </w:pPr>
      <w:r w:rsidRPr="00736768">
        <w:rPr>
          <w:rStyle w:val="Strong"/>
          <w:b w:val="0"/>
          <w:shd w:val="clear" w:color="auto" w:fill="FFFFFF"/>
          <w:lang w:val="hy-AM"/>
        </w:rPr>
        <w:t>6)</w:t>
      </w:r>
      <w:r w:rsidRPr="00736768">
        <w:rPr>
          <w:rStyle w:val="Strong"/>
          <w:b w:val="0"/>
          <w:shd w:val="clear" w:color="auto" w:fill="FFFFFF"/>
          <w:lang w:val="hy-AM"/>
        </w:rPr>
        <w:tab/>
        <w:t>առողջական վիճակի պարտադիր նախնական (աշխատանքի ընդունվելիս) և պարբերական բժշկական զննության ենթակա աշխատողների ընտրություն, բժշկական զննության կազմակերպում.</w:t>
      </w:r>
    </w:p>
    <w:p w14:paraId="398EA303" w14:textId="1753F408" w:rsidR="00736768" w:rsidRPr="0037569E" w:rsidRDefault="00736768" w:rsidP="00ED101D">
      <w:pPr>
        <w:spacing w:after="0" w:line="360" w:lineRule="auto"/>
        <w:ind w:firstLine="851"/>
        <w:jc w:val="both"/>
        <w:rPr>
          <w:rStyle w:val="Strong"/>
          <w:b w:val="0"/>
          <w:shd w:val="clear" w:color="auto" w:fill="FFFFFF"/>
          <w:lang w:val="hy-AM"/>
        </w:rPr>
      </w:pPr>
      <w:r w:rsidRPr="00736768">
        <w:rPr>
          <w:rStyle w:val="Strong"/>
          <w:b w:val="0"/>
          <w:shd w:val="clear" w:color="auto" w:fill="FFFFFF"/>
          <w:lang w:val="hy-AM"/>
        </w:rPr>
        <w:t>7)</w:t>
      </w:r>
      <w:r w:rsidRPr="00736768">
        <w:rPr>
          <w:rStyle w:val="Strong"/>
          <w:b w:val="0"/>
          <w:shd w:val="clear" w:color="auto" w:fill="FFFFFF"/>
          <w:lang w:val="hy-AM"/>
        </w:rPr>
        <w:tab/>
        <w:t>աշխատողների առողջության պահպանմանն ուղղված միջոցառումների մշակում և ներկայացում:</w:t>
      </w:r>
    </w:p>
    <w:p w14:paraId="27A4447F" w14:textId="77777777" w:rsidR="00736768" w:rsidRDefault="00736768" w:rsidP="00ED101D">
      <w:pPr>
        <w:spacing w:after="0" w:line="360" w:lineRule="auto"/>
        <w:ind w:firstLine="851"/>
        <w:jc w:val="both"/>
        <w:rPr>
          <w:szCs w:val="24"/>
          <w:lang w:val="hy-AM"/>
        </w:rPr>
      </w:pPr>
    </w:p>
    <w:p w14:paraId="21B187B6" w14:textId="77777777" w:rsidR="00502D59" w:rsidRPr="00FB6B66" w:rsidRDefault="00502D59" w:rsidP="00ED101D">
      <w:pPr>
        <w:spacing w:after="0" w:line="360" w:lineRule="auto"/>
        <w:ind w:firstLine="851"/>
        <w:jc w:val="both"/>
        <w:rPr>
          <w:rFonts w:eastAsia="Calibri"/>
          <w:b/>
          <w:szCs w:val="24"/>
          <w:lang w:val="hy-AM"/>
        </w:rPr>
      </w:pPr>
      <w:r w:rsidRPr="00FB6B66">
        <w:rPr>
          <w:rFonts w:eastAsia="Calibri"/>
          <w:b/>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32B0032C" w14:textId="7F3F01BE" w:rsidR="004B094D" w:rsidRPr="00FB6B66" w:rsidRDefault="004B094D" w:rsidP="00ED101D">
      <w:pPr>
        <w:spacing w:after="0" w:line="360" w:lineRule="auto"/>
        <w:ind w:firstLine="851"/>
        <w:jc w:val="both"/>
        <w:rPr>
          <w:szCs w:val="24"/>
          <w:lang w:val="hy-AM"/>
        </w:rPr>
      </w:pPr>
      <w:r w:rsidRPr="00FB6B66">
        <w:rPr>
          <w:szCs w:val="24"/>
          <w:lang w:val="hy-AM"/>
        </w:rPr>
        <w:t>Նախագծի ընդունման կապակցությամբ պետական կամ տեղական ինքնակառավարման մարմինների բյուջեներում ծախuերի և եկամուտների ավելացում կամ նվազեցում չի սպասվում:</w:t>
      </w:r>
      <w:r w:rsidR="00C5611A">
        <w:rPr>
          <w:szCs w:val="24"/>
          <w:lang w:val="hy-AM"/>
        </w:rPr>
        <w:t xml:space="preserve"> </w:t>
      </w:r>
    </w:p>
    <w:p w14:paraId="25766F5A" w14:textId="77777777" w:rsidR="004B6A65" w:rsidRPr="00FB6B66" w:rsidRDefault="004B6A65" w:rsidP="00ED101D">
      <w:pPr>
        <w:spacing w:after="0" w:line="360" w:lineRule="auto"/>
        <w:ind w:firstLine="851"/>
        <w:jc w:val="both"/>
        <w:rPr>
          <w:szCs w:val="24"/>
          <w:lang w:val="hy-AM"/>
        </w:rPr>
      </w:pPr>
    </w:p>
    <w:p w14:paraId="4B9A844B" w14:textId="3DCA8147" w:rsidR="00234A2C" w:rsidRPr="00FB6B66" w:rsidRDefault="00C5611A" w:rsidP="00ED101D">
      <w:pPr>
        <w:tabs>
          <w:tab w:val="left" w:pos="567"/>
        </w:tabs>
        <w:spacing w:after="0" w:line="360" w:lineRule="auto"/>
        <w:ind w:firstLine="851"/>
        <w:jc w:val="both"/>
        <w:rPr>
          <w:b/>
          <w:szCs w:val="24"/>
          <w:lang w:val="hy-AM"/>
        </w:rPr>
      </w:pPr>
      <w:r>
        <w:rPr>
          <w:b/>
          <w:szCs w:val="24"/>
          <w:shd w:val="clear" w:color="auto" w:fill="FFFFFF"/>
          <w:lang w:val="hy-AM"/>
        </w:rPr>
        <w:t xml:space="preserve"> </w:t>
      </w:r>
      <w:r w:rsidR="004B094D" w:rsidRPr="00FB6B66">
        <w:rPr>
          <w:b/>
          <w:szCs w:val="24"/>
          <w:shd w:val="clear" w:color="auto" w:fill="FFFFFF"/>
          <w:lang w:val="hy-AM"/>
        </w:rPr>
        <w:t>4</w:t>
      </w:r>
      <w:r w:rsidR="00234A2C" w:rsidRPr="00FB6B66">
        <w:rPr>
          <w:b/>
          <w:szCs w:val="24"/>
          <w:lang w:val="hy-AM"/>
        </w:rPr>
        <w:t xml:space="preserve">. </w:t>
      </w:r>
      <w:r w:rsidR="00234A2C" w:rsidRPr="00FB6B66">
        <w:rPr>
          <w:rFonts w:cs="Courier New"/>
          <w:b/>
          <w:szCs w:val="24"/>
          <w:lang w:val="hy-AM"/>
        </w:rPr>
        <w:t>Նախագծի մշակման գործընթացում ներգրավված ինստիտուտները և անձինք</w:t>
      </w:r>
    </w:p>
    <w:p w14:paraId="01D21EB8" w14:textId="293F7877" w:rsidR="00234A2C" w:rsidRPr="00FB6B66" w:rsidRDefault="00234A2C" w:rsidP="00ED101D">
      <w:pPr>
        <w:spacing w:after="0" w:line="360" w:lineRule="auto"/>
        <w:ind w:firstLine="851"/>
        <w:jc w:val="both"/>
        <w:rPr>
          <w:szCs w:val="24"/>
          <w:lang w:val="hy-AM"/>
        </w:rPr>
      </w:pPr>
      <w:r w:rsidRPr="00FB6B66">
        <w:rPr>
          <w:szCs w:val="24"/>
          <w:lang w:val="hy-AM"/>
        </w:rPr>
        <w:t xml:space="preserve">Նախագիծը մշակվել է </w:t>
      </w:r>
      <w:r w:rsidR="008E0D0B" w:rsidRPr="00FB6B66">
        <w:rPr>
          <w:szCs w:val="24"/>
          <w:lang w:val="hy-AM"/>
        </w:rPr>
        <w:t xml:space="preserve">ԱՆ «Հիվանդությունների վերահսկման և կանխարգելման ազգային կենտրոն» </w:t>
      </w:r>
      <w:r w:rsidR="00612AF8" w:rsidRPr="00FB6B66">
        <w:rPr>
          <w:szCs w:val="24"/>
          <w:lang w:val="hy-AM"/>
        </w:rPr>
        <w:t xml:space="preserve">պետական ոչ առևտրային կազմակերպության </w:t>
      </w:r>
      <w:r w:rsidR="004B6A65" w:rsidRPr="00FB6B66">
        <w:rPr>
          <w:szCs w:val="24"/>
          <w:lang w:val="hy-AM"/>
        </w:rPr>
        <w:t>աշխատող</w:t>
      </w:r>
      <w:r w:rsidRPr="00FB6B66">
        <w:rPr>
          <w:szCs w:val="24"/>
          <w:lang w:val="hy-AM"/>
        </w:rPr>
        <w:t>ների</w:t>
      </w:r>
      <w:r w:rsidR="00A35656" w:rsidRPr="00FB6B66">
        <w:rPr>
          <w:szCs w:val="24"/>
          <w:lang w:val="hy-AM"/>
        </w:rPr>
        <w:t xml:space="preserve"> </w:t>
      </w:r>
      <w:r w:rsidR="00A35656" w:rsidRPr="00FB6B66">
        <w:rPr>
          <w:bCs/>
          <w:szCs w:val="24"/>
          <w:lang w:val="hy-AM"/>
        </w:rPr>
        <w:t>կողմից</w:t>
      </w:r>
      <w:r w:rsidR="00A35656" w:rsidRPr="00FB6B66">
        <w:rPr>
          <w:szCs w:val="24"/>
          <w:lang w:val="hy-AM"/>
        </w:rPr>
        <w:t>:</w:t>
      </w:r>
      <w:r w:rsidRPr="00FB6B66">
        <w:rPr>
          <w:szCs w:val="24"/>
          <w:lang w:val="hy-AM"/>
        </w:rPr>
        <w:t xml:space="preserve"> </w:t>
      </w:r>
    </w:p>
    <w:p w14:paraId="74F13AC7" w14:textId="77777777" w:rsidR="004B6A65" w:rsidRPr="00FB6B66" w:rsidRDefault="004B6A65" w:rsidP="00ED101D">
      <w:pPr>
        <w:spacing w:after="0" w:line="360" w:lineRule="auto"/>
        <w:ind w:firstLine="851"/>
        <w:jc w:val="both"/>
        <w:rPr>
          <w:szCs w:val="24"/>
          <w:lang w:val="hy-AM"/>
        </w:rPr>
      </w:pPr>
    </w:p>
    <w:p w14:paraId="6568DE80" w14:textId="77777777" w:rsidR="00234A2C" w:rsidRPr="00FB6B66" w:rsidRDefault="00DA7397" w:rsidP="00ED101D">
      <w:pPr>
        <w:spacing w:after="0" w:line="360" w:lineRule="auto"/>
        <w:ind w:firstLine="851"/>
        <w:jc w:val="both"/>
        <w:rPr>
          <w:b/>
          <w:szCs w:val="24"/>
          <w:lang w:val="hy-AM"/>
        </w:rPr>
      </w:pPr>
      <w:r w:rsidRPr="00FB6B66">
        <w:rPr>
          <w:b/>
          <w:szCs w:val="24"/>
          <w:lang w:val="hy-AM"/>
        </w:rPr>
        <w:t>5</w:t>
      </w:r>
      <w:r w:rsidR="00234A2C" w:rsidRPr="00FB6B66">
        <w:rPr>
          <w:b/>
          <w:szCs w:val="24"/>
          <w:lang w:val="hy-AM"/>
        </w:rPr>
        <w:t>. Ակնկալվող արդյունքը</w:t>
      </w:r>
    </w:p>
    <w:p w14:paraId="0C7B1813" w14:textId="6CF739E1" w:rsidR="005E46D7" w:rsidRDefault="005E46D7" w:rsidP="00ED101D">
      <w:pPr>
        <w:pStyle w:val="BodyTextIndent3"/>
        <w:tabs>
          <w:tab w:val="left" w:pos="0"/>
        </w:tabs>
        <w:spacing w:after="0" w:line="360" w:lineRule="auto"/>
        <w:ind w:left="0" w:firstLine="851"/>
        <w:jc w:val="both"/>
        <w:rPr>
          <w:rFonts w:ascii="GHEA Grapalat" w:hAnsi="GHEA Grapalat"/>
          <w:bCs/>
          <w:sz w:val="24"/>
          <w:szCs w:val="24"/>
          <w:shd w:val="clear" w:color="auto" w:fill="FFFFFF"/>
          <w:lang w:val="hy-AM"/>
        </w:rPr>
      </w:pPr>
      <w:r w:rsidRPr="00FB6B66">
        <w:rPr>
          <w:rFonts w:ascii="GHEA Grapalat" w:hAnsi="GHEA Grapalat"/>
          <w:sz w:val="24"/>
          <w:szCs w:val="24"/>
          <w:lang w:val="hy-AM"/>
        </w:rPr>
        <w:lastRenderedPageBreak/>
        <w:t xml:space="preserve">Նախագծի </w:t>
      </w:r>
      <w:r w:rsidR="00A35656" w:rsidRPr="00FB6B66">
        <w:rPr>
          <w:rFonts w:ascii="GHEA Grapalat" w:hAnsi="GHEA Grapalat"/>
          <w:sz w:val="24"/>
          <w:szCs w:val="24"/>
          <w:shd w:val="clear" w:color="auto" w:fill="FFFFFF"/>
          <w:lang w:val="hy-AM"/>
        </w:rPr>
        <w:t xml:space="preserve">ընդունմամբ </w:t>
      </w:r>
      <w:r w:rsidRPr="00FB6B66">
        <w:rPr>
          <w:rFonts w:ascii="GHEA Grapalat" w:hAnsi="GHEA Grapalat"/>
          <w:sz w:val="24"/>
          <w:szCs w:val="24"/>
          <w:shd w:val="clear" w:color="auto" w:fill="FFFFFF"/>
          <w:lang w:val="hy-AM"/>
        </w:rPr>
        <w:t xml:space="preserve">կապահովվի </w:t>
      </w:r>
      <w:r w:rsidR="00736768" w:rsidRPr="00736768">
        <w:rPr>
          <w:rFonts w:ascii="GHEA Grapalat" w:hAnsi="GHEA Grapalat"/>
          <w:bCs/>
          <w:sz w:val="24"/>
          <w:szCs w:val="24"/>
          <w:shd w:val="clear" w:color="auto" w:fill="FFFFFF"/>
          <w:lang w:val="hy-AM"/>
        </w:rPr>
        <w:t>«Հանրային առողջապահության մասին» Հայաստանի Հանրապետության 2024 թվականի փետրվարի 28-ի ՀՕ-114-Ն օրենքի 51-րդ հոդվածի 4-րդ մասով</w:t>
      </w:r>
      <w:r w:rsidR="00736768">
        <w:rPr>
          <w:rFonts w:ascii="GHEA Grapalat" w:hAnsi="GHEA Grapalat"/>
          <w:bCs/>
          <w:sz w:val="24"/>
          <w:szCs w:val="24"/>
          <w:shd w:val="clear" w:color="auto" w:fill="FFFFFF"/>
          <w:lang w:val="hy-AM"/>
        </w:rPr>
        <w:t xml:space="preserve"> ամրագրված պահանջ</w:t>
      </w:r>
      <w:r w:rsidRPr="00FB6B66">
        <w:rPr>
          <w:rFonts w:ascii="GHEA Grapalat" w:hAnsi="GHEA Grapalat"/>
          <w:bCs/>
          <w:sz w:val="24"/>
          <w:szCs w:val="24"/>
          <w:shd w:val="clear" w:color="auto" w:fill="FFFFFF"/>
          <w:lang w:val="hy-AM"/>
        </w:rPr>
        <w:t>ի կատարումը:</w:t>
      </w:r>
    </w:p>
    <w:p w14:paraId="5896C7C2" w14:textId="63745B7B" w:rsidR="00B259FC" w:rsidRPr="00B259FC" w:rsidRDefault="00B259FC" w:rsidP="00ED101D">
      <w:pPr>
        <w:pStyle w:val="BodyTextIndent3"/>
        <w:tabs>
          <w:tab w:val="left" w:pos="0"/>
        </w:tabs>
        <w:spacing w:after="0" w:line="360" w:lineRule="auto"/>
        <w:ind w:left="0" w:firstLine="851"/>
        <w:jc w:val="both"/>
        <w:rPr>
          <w:rFonts w:ascii="GHEA Grapalat" w:hAnsi="GHEA Grapalat"/>
          <w:sz w:val="24"/>
          <w:szCs w:val="24"/>
          <w:lang w:val="hy-AM"/>
        </w:rPr>
      </w:pPr>
      <w:r w:rsidRPr="00B259FC">
        <w:rPr>
          <w:rFonts w:ascii="GHEA Grapalat" w:hAnsi="GHEA Grapalat"/>
          <w:sz w:val="24"/>
          <w:szCs w:val="24"/>
          <w:lang w:val="hy-AM"/>
        </w:rPr>
        <w:t xml:space="preserve">Միաժամանակ, </w:t>
      </w:r>
      <w:r w:rsidR="007C0932">
        <w:rPr>
          <w:rFonts w:ascii="GHEA Grapalat" w:hAnsi="GHEA Grapalat"/>
          <w:sz w:val="24"/>
          <w:szCs w:val="24"/>
          <w:lang w:val="hy-AM"/>
        </w:rPr>
        <w:t xml:space="preserve">նախագծի ընդունումը կնպաստի </w:t>
      </w:r>
      <w:r w:rsidR="007C0932" w:rsidRPr="007C0932">
        <w:rPr>
          <w:rFonts w:ascii="GHEA Grapalat" w:hAnsi="GHEA Grapalat"/>
          <w:sz w:val="24"/>
          <w:szCs w:val="24"/>
          <w:lang w:val="hy-AM"/>
        </w:rPr>
        <w:t xml:space="preserve">արտադրական միջավայրում և աշխատանքային գործընթացում </w:t>
      </w:r>
      <w:r w:rsidR="007C0932">
        <w:rPr>
          <w:rFonts w:ascii="GHEA Grapalat" w:hAnsi="GHEA Grapalat"/>
          <w:sz w:val="24"/>
          <w:szCs w:val="24"/>
          <w:lang w:val="hy-AM"/>
        </w:rPr>
        <w:t>աշխատողների առողջության վրա հնարավոր ռիսկերի կառավարմանն ու մեղմմանը, ինչպես նաև մասնագիտական հիվանդությունների կանխարգելմանը:</w:t>
      </w:r>
    </w:p>
    <w:p w14:paraId="4D65BCF3" w14:textId="77777777" w:rsidR="00736768" w:rsidRPr="00736768" w:rsidRDefault="00736768" w:rsidP="00ED101D">
      <w:pPr>
        <w:pStyle w:val="BodyTextIndent3"/>
        <w:tabs>
          <w:tab w:val="left" w:pos="0"/>
        </w:tabs>
        <w:spacing w:after="0" w:line="360" w:lineRule="auto"/>
        <w:ind w:left="0" w:firstLine="851"/>
        <w:jc w:val="both"/>
        <w:rPr>
          <w:rFonts w:ascii="GHEA Grapalat" w:hAnsi="GHEA Grapalat"/>
          <w:sz w:val="24"/>
          <w:szCs w:val="24"/>
          <w:shd w:val="clear" w:color="auto" w:fill="FFFFFF"/>
          <w:lang w:val="hy-AM"/>
        </w:rPr>
      </w:pPr>
    </w:p>
    <w:p w14:paraId="3886EB1D" w14:textId="77777777" w:rsidR="00234A2C" w:rsidRPr="00FB6B66" w:rsidRDefault="00234A2C" w:rsidP="00ED101D">
      <w:pPr>
        <w:pStyle w:val="NormalWeb"/>
        <w:widowControl w:val="0"/>
        <w:spacing w:before="0" w:beforeAutospacing="0" w:after="0" w:afterAutospacing="0" w:line="360" w:lineRule="auto"/>
        <w:ind w:firstLine="851"/>
        <w:jc w:val="both"/>
        <w:rPr>
          <w:rFonts w:ascii="Sylfaen" w:eastAsiaTheme="minorHAnsi" w:hAnsi="Sylfaen" w:cstheme="minorBidi"/>
          <w:b/>
          <w:noProof/>
          <w:lang w:val="hy-AM"/>
        </w:rPr>
      </w:pPr>
      <w:r w:rsidRPr="00FB6B66">
        <w:rPr>
          <w:rFonts w:ascii="GHEA Grapalat" w:eastAsiaTheme="minorHAnsi" w:hAnsi="GHEA Grapalat" w:cstheme="minorBidi"/>
          <w:b/>
          <w:noProof/>
          <w:lang w:val="hy-AM"/>
        </w:rPr>
        <w:t>6</w:t>
      </w:r>
      <w:r w:rsidRPr="00FB6B66">
        <w:rPr>
          <w:rFonts w:ascii="Cambria Math" w:eastAsiaTheme="minorHAnsi" w:hAnsi="Cambria Math" w:cs="Cambria Math"/>
          <w:b/>
          <w:noProof/>
          <w:lang w:val="hy-AM"/>
        </w:rPr>
        <w:t>․</w:t>
      </w:r>
      <w:r w:rsidRPr="00FB6B66">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B082416" w14:textId="5FBA277D" w:rsidR="007C0932" w:rsidRDefault="007C0932" w:rsidP="00ED101D">
      <w:pPr>
        <w:tabs>
          <w:tab w:val="left" w:pos="1080"/>
        </w:tabs>
        <w:spacing w:after="0" w:line="360" w:lineRule="auto"/>
        <w:ind w:firstLine="851"/>
        <w:jc w:val="both"/>
        <w:rPr>
          <w:rFonts w:cstheme="minorBidi"/>
          <w:noProof/>
          <w:lang w:val="hy-AM"/>
        </w:rPr>
      </w:pPr>
      <w:r w:rsidRPr="007C0932">
        <w:rPr>
          <w:rFonts w:cstheme="minorBidi"/>
          <w:noProof/>
          <w:lang w:val="hy-AM"/>
        </w:rPr>
        <w:t xml:space="preserve">Նախագիծը կապված է ՀՀ կառավարության 2021 թվականի նոյեմբերի 24-ի «Հայաստանի Հանրապետության կառավարության 2021-2026 թվականների գործունեության միջոցառումների ծրագիրը հաստատելու մասին» թիվ 1902-Լ որոշման 1-ին հավելվածի «Առողջապահության նախարարություն» բաժնի 19-րդ կետի 19.1-րդ ենթակետի հետ և բխում է «Հանրային առողջապահության մասին» Հայաստանի Հանրապետության 2024 թվականի փետրվարի 28-ի ՀՕ-114-Ն օրենքի 51-րդ հոդվածի 4-րդ </w:t>
      </w:r>
      <w:r>
        <w:rPr>
          <w:rFonts w:cstheme="minorBidi"/>
          <w:noProof/>
          <w:lang w:val="hy-AM"/>
        </w:rPr>
        <w:t>մասից:</w:t>
      </w:r>
    </w:p>
    <w:p w14:paraId="1821E08D" w14:textId="39C66471" w:rsidR="007C0932" w:rsidRPr="00875CDD" w:rsidRDefault="007C0932" w:rsidP="00ED101D">
      <w:pPr>
        <w:tabs>
          <w:tab w:val="left" w:pos="1080"/>
        </w:tabs>
        <w:spacing w:after="0" w:line="360" w:lineRule="auto"/>
        <w:ind w:firstLine="851"/>
        <w:jc w:val="both"/>
        <w:rPr>
          <w:rFonts w:cstheme="minorBidi"/>
          <w:noProof/>
          <w:lang w:val="hy-AM"/>
        </w:rPr>
      </w:pPr>
      <w:r w:rsidRPr="007C0932">
        <w:rPr>
          <w:rFonts w:cstheme="minorBidi"/>
          <w:noProof/>
          <w:lang w:val="hy-AM"/>
        </w:rPr>
        <w:t>Նախագծի ընդունմամբ կապահովվի «Հանրային առողջապահության մասին» Հայաստանի Հանրապետության 2024 թվականի փետրվարի 28-ի ՀՕ-114-Ն օրենքի կիրարկումը։</w:t>
      </w:r>
    </w:p>
    <w:sectPr w:rsidR="007C0932" w:rsidRPr="00875CDD" w:rsidSect="008A11C7">
      <w:pgSz w:w="11906" w:h="16838" w:code="9"/>
      <w:pgMar w:top="851" w:right="1134" w:bottom="851" w:left="1418" w:header="0" w:footer="5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BCC"/>
    <w:multiLevelType w:val="hybridMultilevel"/>
    <w:tmpl w:val="B3F68E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875426"/>
    <w:multiLevelType w:val="hybridMultilevel"/>
    <w:tmpl w:val="46103E08"/>
    <w:lvl w:ilvl="0" w:tplc="24B6DFFE">
      <w:start w:val="1"/>
      <w:numFmt w:val="decimal"/>
      <w:lvlText w:val="%1)"/>
      <w:lvlJc w:val="left"/>
      <w:pPr>
        <w:ind w:left="1080" w:hanging="360"/>
      </w:pPr>
      <w:rPr>
        <w:rFonts w:eastAsia="MS Mincho"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BD1855"/>
    <w:multiLevelType w:val="hybridMultilevel"/>
    <w:tmpl w:val="2FCE5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4A2C"/>
    <w:rsid w:val="00022AF4"/>
    <w:rsid w:val="000237BE"/>
    <w:rsid w:val="00044CAE"/>
    <w:rsid w:val="00077EF8"/>
    <w:rsid w:val="00083499"/>
    <w:rsid w:val="00096E81"/>
    <w:rsid w:val="000A2A3A"/>
    <w:rsid w:val="000C0952"/>
    <w:rsid w:val="000C54EC"/>
    <w:rsid w:val="000F1BF1"/>
    <w:rsid w:val="000F3513"/>
    <w:rsid w:val="00126AF9"/>
    <w:rsid w:val="00131628"/>
    <w:rsid w:val="0013796F"/>
    <w:rsid w:val="00150394"/>
    <w:rsid w:val="00151C34"/>
    <w:rsid w:val="0015547E"/>
    <w:rsid w:val="001658C0"/>
    <w:rsid w:val="001819C7"/>
    <w:rsid w:val="001963B0"/>
    <w:rsid w:val="001A15B5"/>
    <w:rsid w:val="001B6AF4"/>
    <w:rsid w:val="001D10D5"/>
    <w:rsid w:val="001F0AC1"/>
    <w:rsid w:val="0020385F"/>
    <w:rsid w:val="0020627E"/>
    <w:rsid w:val="00220693"/>
    <w:rsid w:val="00221806"/>
    <w:rsid w:val="00234A2C"/>
    <w:rsid w:val="00275D39"/>
    <w:rsid w:val="00281902"/>
    <w:rsid w:val="00287126"/>
    <w:rsid w:val="0029598F"/>
    <w:rsid w:val="002A3BFE"/>
    <w:rsid w:val="002B501E"/>
    <w:rsid w:val="002E2768"/>
    <w:rsid w:val="002E60F2"/>
    <w:rsid w:val="0030196B"/>
    <w:rsid w:val="00304A34"/>
    <w:rsid w:val="00313D67"/>
    <w:rsid w:val="003274D1"/>
    <w:rsid w:val="0037569E"/>
    <w:rsid w:val="003A70BA"/>
    <w:rsid w:val="003C27AB"/>
    <w:rsid w:val="003C4483"/>
    <w:rsid w:val="003E6B34"/>
    <w:rsid w:val="004068D5"/>
    <w:rsid w:val="004741BD"/>
    <w:rsid w:val="00474CA0"/>
    <w:rsid w:val="00477C18"/>
    <w:rsid w:val="004B094D"/>
    <w:rsid w:val="004B6A65"/>
    <w:rsid w:val="004C5B26"/>
    <w:rsid w:val="004C78E3"/>
    <w:rsid w:val="00502D59"/>
    <w:rsid w:val="00513D4E"/>
    <w:rsid w:val="0051744B"/>
    <w:rsid w:val="00530A82"/>
    <w:rsid w:val="005675AA"/>
    <w:rsid w:val="0056778D"/>
    <w:rsid w:val="00570DBC"/>
    <w:rsid w:val="0057740E"/>
    <w:rsid w:val="00593FF6"/>
    <w:rsid w:val="005B0B41"/>
    <w:rsid w:val="005E46D7"/>
    <w:rsid w:val="00612AF8"/>
    <w:rsid w:val="00614BFF"/>
    <w:rsid w:val="006541A7"/>
    <w:rsid w:val="00682F47"/>
    <w:rsid w:val="006A61C4"/>
    <w:rsid w:val="006C67B8"/>
    <w:rsid w:val="006D74FC"/>
    <w:rsid w:val="006F565A"/>
    <w:rsid w:val="00715D94"/>
    <w:rsid w:val="00730C4E"/>
    <w:rsid w:val="00732409"/>
    <w:rsid w:val="00736768"/>
    <w:rsid w:val="007A4056"/>
    <w:rsid w:val="007C0932"/>
    <w:rsid w:val="007D3495"/>
    <w:rsid w:val="007D66A7"/>
    <w:rsid w:val="007D7305"/>
    <w:rsid w:val="007E7DBB"/>
    <w:rsid w:val="00800EAF"/>
    <w:rsid w:val="00844109"/>
    <w:rsid w:val="0086433E"/>
    <w:rsid w:val="00867E64"/>
    <w:rsid w:val="0087486D"/>
    <w:rsid w:val="00875CDD"/>
    <w:rsid w:val="008814BE"/>
    <w:rsid w:val="008A11C7"/>
    <w:rsid w:val="008B5E0B"/>
    <w:rsid w:val="008C6A9B"/>
    <w:rsid w:val="008D0A2D"/>
    <w:rsid w:val="008E0D0B"/>
    <w:rsid w:val="008E2488"/>
    <w:rsid w:val="00900763"/>
    <w:rsid w:val="00910215"/>
    <w:rsid w:val="0094591C"/>
    <w:rsid w:val="00947F42"/>
    <w:rsid w:val="00966D9A"/>
    <w:rsid w:val="009750F9"/>
    <w:rsid w:val="00985E6F"/>
    <w:rsid w:val="00997850"/>
    <w:rsid w:val="009B6C2D"/>
    <w:rsid w:val="009D5694"/>
    <w:rsid w:val="00A00D72"/>
    <w:rsid w:val="00A170B6"/>
    <w:rsid w:val="00A24CC7"/>
    <w:rsid w:val="00A35656"/>
    <w:rsid w:val="00A41D58"/>
    <w:rsid w:val="00A552AA"/>
    <w:rsid w:val="00A57FF6"/>
    <w:rsid w:val="00A65EA4"/>
    <w:rsid w:val="00A700F7"/>
    <w:rsid w:val="00A77F08"/>
    <w:rsid w:val="00A95581"/>
    <w:rsid w:val="00AA4ABD"/>
    <w:rsid w:val="00AB5561"/>
    <w:rsid w:val="00AC514E"/>
    <w:rsid w:val="00AD0040"/>
    <w:rsid w:val="00AE51E6"/>
    <w:rsid w:val="00B259FC"/>
    <w:rsid w:val="00B30418"/>
    <w:rsid w:val="00B32050"/>
    <w:rsid w:val="00B617EC"/>
    <w:rsid w:val="00B81FB0"/>
    <w:rsid w:val="00BB59BF"/>
    <w:rsid w:val="00BD07B1"/>
    <w:rsid w:val="00BF1597"/>
    <w:rsid w:val="00C108E0"/>
    <w:rsid w:val="00C421BD"/>
    <w:rsid w:val="00C54B9B"/>
    <w:rsid w:val="00C5611A"/>
    <w:rsid w:val="00C87B14"/>
    <w:rsid w:val="00C87D69"/>
    <w:rsid w:val="00CE341C"/>
    <w:rsid w:val="00CF09B3"/>
    <w:rsid w:val="00CF2F7E"/>
    <w:rsid w:val="00D426DC"/>
    <w:rsid w:val="00D5406F"/>
    <w:rsid w:val="00D90C39"/>
    <w:rsid w:val="00D95857"/>
    <w:rsid w:val="00DA01B4"/>
    <w:rsid w:val="00DA7397"/>
    <w:rsid w:val="00DC60D8"/>
    <w:rsid w:val="00DD5FC2"/>
    <w:rsid w:val="00DD7998"/>
    <w:rsid w:val="00DF2592"/>
    <w:rsid w:val="00DF3924"/>
    <w:rsid w:val="00E314C7"/>
    <w:rsid w:val="00E7592A"/>
    <w:rsid w:val="00E87CF3"/>
    <w:rsid w:val="00EA06C2"/>
    <w:rsid w:val="00EA4EAF"/>
    <w:rsid w:val="00EB7E1F"/>
    <w:rsid w:val="00ED101D"/>
    <w:rsid w:val="00F15AFB"/>
    <w:rsid w:val="00F275EB"/>
    <w:rsid w:val="00F55AD8"/>
    <w:rsid w:val="00F60602"/>
    <w:rsid w:val="00F64887"/>
    <w:rsid w:val="00F72BE0"/>
    <w:rsid w:val="00FB6B66"/>
    <w:rsid w:val="00FD7802"/>
    <w:rsid w:val="00FE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14A"/>
  <w15:docId w15:val="{DF4342F1-F1B1-4230-BD74-C76A771D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2C"/>
    <w:rPr>
      <w:rFonts w:ascii="GHEA Grapalat" w:hAnsi="GHEA Grapalat" w:cs="Sylfae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34A2C"/>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Char Char Char1,Обычный (веб)"/>
    <w:basedOn w:val="Normal"/>
    <w:link w:val="NormalWebChar"/>
    <w:uiPriority w:val="99"/>
    <w:unhideWhenUsed/>
    <w:qFormat/>
    <w:rsid w:val="00234A2C"/>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234A2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qFormat/>
    <w:rsid w:val="00234A2C"/>
    <w:rPr>
      <w:rFonts w:ascii="GHEA Grapalat" w:hAnsi="GHEA Grapalat" w:cs="Sylfaen"/>
      <w:color w:val="000000"/>
      <w:sz w:val="24"/>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234A2C"/>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51744B"/>
    <w:pPr>
      <w:spacing w:after="120" w:line="240" w:lineRule="auto"/>
      <w:ind w:left="283"/>
    </w:pPr>
    <w:rPr>
      <w:rFonts w:ascii="Arial Unicode" w:eastAsia="Times New Roman" w:hAnsi="Arial Unicode" w:cs="Times New Roman"/>
      <w:color w:val="auto"/>
      <w:sz w:val="16"/>
      <w:szCs w:val="16"/>
    </w:rPr>
  </w:style>
  <w:style w:type="character" w:customStyle="1" w:styleId="BodyTextIndent3Char">
    <w:name w:val="Body Text Indent 3 Char"/>
    <w:basedOn w:val="DefaultParagraphFont"/>
    <w:link w:val="BodyTextIndent3"/>
    <w:rsid w:val="0051744B"/>
    <w:rPr>
      <w:rFonts w:ascii="Arial Unicode" w:eastAsia="Times New Roman" w:hAnsi="Arial Unicode" w:cs="Times New Roman"/>
      <w:sz w:val="16"/>
      <w:szCs w:val="16"/>
    </w:rPr>
  </w:style>
  <w:style w:type="paragraph" w:styleId="BodyText">
    <w:name w:val="Body Text"/>
    <w:basedOn w:val="Normal"/>
    <w:link w:val="BodyTextChar"/>
    <w:unhideWhenUsed/>
    <w:rsid w:val="0051744B"/>
    <w:pPr>
      <w:spacing w:after="120" w:line="240" w:lineRule="auto"/>
    </w:pPr>
    <w:rPr>
      <w:rFonts w:ascii="Arial Unicode" w:eastAsia="Times New Roman" w:hAnsi="Arial Unicode" w:cs="Times New Roman"/>
      <w:color w:val="auto"/>
    </w:rPr>
  </w:style>
  <w:style w:type="character" w:customStyle="1" w:styleId="BodyTextChar">
    <w:name w:val="Body Text Char"/>
    <w:basedOn w:val="DefaultParagraphFont"/>
    <w:link w:val="BodyText"/>
    <w:rsid w:val="0051744B"/>
    <w:rPr>
      <w:rFonts w:ascii="Arial Unicode" w:eastAsia="Times New Roman" w:hAnsi="Arial Unicode" w:cs="Times New Roman"/>
      <w:sz w:val="24"/>
      <w:szCs w:val="20"/>
    </w:rPr>
  </w:style>
  <w:style w:type="paragraph" w:styleId="BalloonText">
    <w:name w:val="Balloon Text"/>
    <w:basedOn w:val="Normal"/>
    <w:link w:val="BalloonTextChar"/>
    <w:uiPriority w:val="99"/>
    <w:semiHidden/>
    <w:unhideWhenUsed/>
    <w:rsid w:val="00BF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9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220693"/>
    <w:rPr>
      <w:sz w:val="16"/>
      <w:szCs w:val="16"/>
    </w:rPr>
  </w:style>
  <w:style w:type="paragraph" w:styleId="CommentText">
    <w:name w:val="annotation text"/>
    <w:basedOn w:val="Normal"/>
    <w:link w:val="CommentTextChar"/>
    <w:uiPriority w:val="99"/>
    <w:unhideWhenUsed/>
    <w:rsid w:val="00220693"/>
    <w:pPr>
      <w:spacing w:line="240" w:lineRule="auto"/>
    </w:pPr>
    <w:rPr>
      <w:rFonts w:asciiTheme="minorHAnsi" w:hAnsiTheme="minorHAnsi" w:cstheme="minorBidi"/>
      <w:color w:val="auto"/>
      <w:sz w:val="20"/>
    </w:rPr>
  </w:style>
  <w:style w:type="character" w:customStyle="1" w:styleId="CommentTextChar">
    <w:name w:val="Comment Text Char"/>
    <w:basedOn w:val="DefaultParagraphFont"/>
    <w:link w:val="CommentText"/>
    <w:uiPriority w:val="99"/>
    <w:rsid w:val="00220693"/>
    <w:rPr>
      <w:sz w:val="20"/>
      <w:szCs w:val="20"/>
    </w:rPr>
  </w:style>
  <w:style w:type="paragraph" w:styleId="CommentSubject">
    <w:name w:val="annotation subject"/>
    <w:basedOn w:val="CommentText"/>
    <w:next w:val="CommentText"/>
    <w:link w:val="CommentSubjectChar"/>
    <w:uiPriority w:val="99"/>
    <w:semiHidden/>
    <w:unhideWhenUsed/>
    <w:rsid w:val="00D95857"/>
    <w:rPr>
      <w:rFonts w:ascii="GHEA Grapalat" w:hAnsi="GHEA Grapalat" w:cs="Sylfaen"/>
      <w:b/>
      <w:bCs/>
      <w:color w:val="000000"/>
    </w:rPr>
  </w:style>
  <w:style w:type="character" w:customStyle="1" w:styleId="CommentSubjectChar">
    <w:name w:val="Comment Subject Char"/>
    <w:basedOn w:val="CommentTextChar"/>
    <w:link w:val="CommentSubject"/>
    <w:uiPriority w:val="99"/>
    <w:semiHidden/>
    <w:rsid w:val="00D95857"/>
    <w:rPr>
      <w:rFonts w:ascii="GHEA Grapalat" w:hAnsi="GHEA Grapalat"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972614">
      <w:bodyDiv w:val="1"/>
      <w:marLeft w:val="0"/>
      <w:marRight w:val="0"/>
      <w:marTop w:val="0"/>
      <w:marBottom w:val="0"/>
      <w:divBdr>
        <w:top w:val="none" w:sz="0" w:space="0" w:color="auto"/>
        <w:left w:val="none" w:sz="0" w:space="0" w:color="auto"/>
        <w:bottom w:val="none" w:sz="0" w:space="0" w:color="auto"/>
        <w:right w:val="none" w:sz="0" w:space="0" w:color="auto"/>
      </w:divBdr>
    </w:div>
    <w:div w:id="16719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1889</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Barseghyan</dc:creator>
  <cp:keywords>https://mul2.gov.am/tasks/976956/oneclick/himnavorum.docx?token=eb3733173b29e32777a978c3e24cd7d8</cp:keywords>
  <cp:lastModifiedBy>Araqsya Hambardzumyan</cp:lastModifiedBy>
  <cp:revision>107</cp:revision>
  <dcterms:created xsi:type="dcterms:W3CDTF">2024-04-23T06:43:00Z</dcterms:created>
  <dcterms:modified xsi:type="dcterms:W3CDTF">2025-08-04T09:43:00Z</dcterms:modified>
</cp:coreProperties>
</file>