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4FC6" w14:textId="77777777" w:rsidR="00234A2C" w:rsidRPr="00FB6B66" w:rsidRDefault="00234A2C" w:rsidP="006C5F15">
      <w:pPr>
        <w:spacing w:after="0" w:line="276" w:lineRule="auto"/>
        <w:jc w:val="center"/>
        <w:rPr>
          <w:b/>
          <w:szCs w:val="24"/>
          <w:lang w:val="hy-AM"/>
        </w:rPr>
      </w:pPr>
      <w:r w:rsidRPr="00FB6B66">
        <w:rPr>
          <w:b/>
          <w:szCs w:val="24"/>
          <w:lang w:val="hy-AM"/>
        </w:rPr>
        <w:t>ՀԻՄՆԱՎՈՐՈՒՄ</w:t>
      </w:r>
    </w:p>
    <w:p w14:paraId="5A175218" w14:textId="6DFC6DC5" w:rsidR="00234A2C" w:rsidRPr="00FB6B66" w:rsidRDefault="004741BD" w:rsidP="006C5F15">
      <w:pPr>
        <w:autoSpaceDE w:val="0"/>
        <w:autoSpaceDN w:val="0"/>
        <w:adjustRightInd w:val="0"/>
        <w:spacing w:after="0" w:line="276" w:lineRule="auto"/>
        <w:jc w:val="center"/>
        <w:rPr>
          <w:rFonts w:cs="GHEA Grapalat"/>
          <w:b/>
          <w:szCs w:val="24"/>
          <w:lang w:val="hy-AM"/>
        </w:rPr>
      </w:pPr>
      <w:r w:rsidRPr="00FB6B66">
        <w:rPr>
          <w:rFonts w:cs="GHEA Grapalat"/>
          <w:b/>
          <w:szCs w:val="24"/>
          <w:lang w:val="hy-AM"/>
        </w:rPr>
        <w:t>«</w:t>
      </w:r>
      <w:r w:rsidR="00985E6F" w:rsidRPr="00FB6B66">
        <w:rPr>
          <w:rFonts w:cs="GHEA Grapalat"/>
          <w:b/>
          <w:szCs w:val="24"/>
          <w:lang w:val="hy-AM"/>
        </w:rPr>
        <w:t>ՀԱՅԱՍՏԱՆԻ ՀԱՆՐԱՊԵՏՈՒԹՅԱՆ ԿԱՌԱՎԱՐՈՒԹՅԱՆ 2002 ԹՎԱԿԱՆԻ ՀՈՒՆԻՍԻ 29-Ի N 867 ՈՐՈՇՄԱՆ ՄԵՋ ՓՈՓՈԽՈՒԹՅՈՒՆ ԵՎ ԼՐԱՑՈՒՄՆԵՐ ԿԱՏԱՐԵԼՈՒ ՄԱՍԻՆ</w:t>
      </w:r>
      <w:r w:rsidRPr="00FB6B66">
        <w:rPr>
          <w:rFonts w:cs="GHEA Grapalat"/>
          <w:b/>
          <w:szCs w:val="24"/>
          <w:lang w:val="hy-AM"/>
        </w:rPr>
        <w:t>»</w:t>
      </w:r>
    </w:p>
    <w:p w14:paraId="4BB54387" w14:textId="3A3170BB" w:rsidR="00234A2C" w:rsidRPr="00FB6B66" w:rsidRDefault="00304A34" w:rsidP="006C5F15">
      <w:pPr>
        <w:spacing w:after="0" w:line="276" w:lineRule="auto"/>
        <w:jc w:val="center"/>
        <w:rPr>
          <w:rStyle w:val="Strong"/>
          <w:bCs w:val="0"/>
          <w:szCs w:val="24"/>
          <w:lang w:val="hy-AM"/>
        </w:rPr>
      </w:pPr>
      <w:r w:rsidRPr="00FB6B66">
        <w:rPr>
          <w:rStyle w:val="Strong"/>
          <w:bCs w:val="0"/>
          <w:szCs w:val="24"/>
          <w:shd w:val="clear" w:color="auto" w:fill="FFFFFF"/>
          <w:lang w:val="hy-AM"/>
        </w:rPr>
        <w:t>ՀԱՅԱՍՏԱՆԻ ՀԱՆՐԱՊԵՏՈՒԹՅԱՆ</w:t>
      </w:r>
      <w:r w:rsidRPr="00FB6B66">
        <w:rPr>
          <w:rStyle w:val="Strong"/>
          <w:szCs w:val="24"/>
          <w:shd w:val="clear" w:color="auto" w:fill="FFFFFF"/>
          <w:lang w:val="hy-AM"/>
        </w:rPr>
        <w:t xml:space="preserve"> </w:t>
      </w:r>
      <w:r w:rsidR="004741BD" w:rsidRPr="00FB6B66">
        <w:rPr>
          <w:rStyle w:val="Strong"/>
          <w:szCs w:val="24"/>
          <w:shd w:val="clear" w:color="auto" w:fill="FFFFFF"/>
          <w:lang w:val="hy-AM"/>
        </w:rPr>
        <w:t xml:space="preserve">ԿԱՌԱՎԱՐՈՒԹՅԱՆ </w:t>
      </w:r>
      <w:r w:rsidR="00234A2C" w:rsidRPr="00FB6B66">
        <w:rPr>
          <w:rStyle w:val="Strong"/>
          <w:szCs w:val="24"/>
          <w:shd w:val="clear" w:color="auto" w:fill="FFFFFF"/>
          <w:lang w:val="hy-AM"/>
        </w:rPr>
        <w:t>ՈՐՈՇՄԱՆ ՆԱԽԱԳԾԻ</w:t>
      </w:r>
    </w:p>
    <w:p w14:paraId="03EC5F99" w14:textId="77777777" w:rsidR="00234A2C" w:rsidRPr="00FB6B66" w:rsidRDefault="00234A2C" w:rsidP="006C5F15">
      <w:pPr>
        <w:pStyle w:val="ListParagraph"/>
        <w:spacing w:after="0"/>
        <w:ind w:left="0"/>
        <w:jc w:val="both"/>
        <w:rPr>
          <w:b/>
          <w:szCs w:val="24"/>
          <w:lang w:val="hy-AM"/>
        </w:rPr>
      </w:pPr>
      <w:r w:rsidRPr="00FB6B66">
        <w:rPr>
          <w:b/>
          <w:szCs w:val="24"/>
          <w:lang w:val="hy-AM"/>
        </w:rPr>
        <w:t xml:space="preserve"> </w:t>
      </w:r>
      <w:r w:rsidRPr="00FB6B66">
        <w:rPr>
          <w:b/>
          <w:szCs w:val="24"/>
          <w:lang w:val="hy-AM"/>
        </w:rPr>
        <w:tab/>
      </w:r>
    </w:p>
    <w:p w14:paraId="1E1C23FC" w14:textId="77777777" w:rsidR="00234A2C" w:rsidRPr="00FB6B66" w:rsidRDefault="00234A2C" w:rsidP="006C5F15">
      <w:pPr>
        <w:pStyle w:val="ListParagraph"/>
        <w:spacing w:after="0" w:line="360" w:lineRule="auto"/>
        <w:ind w:left="0" w:firstLine="851"/>
        <w:jc w:val="both"/>
        <w:rPr>
          <w:b/>
          <w:szCs w:val="24"/>
          <w:lang w:val="hy-AM"/>
        </w:rPr>
      </w:pPr>
      <w:r w:rsidRPr="00FB6B66">
        <w:rPr>
          <w:b/>
          <w:szCs w:val="24"/>
          <w:lang w:val="hy-AM"/>
        </w:rPr>
        <w:t>1. Ընթացիկ իրավիճակը և իրավական ակտի ընդունման անհրաժեշտությունը</w:t>
      </w:r>
    </w:p>
    <w:p w14:paraId="7B8E644A" w14:textId="0DAA7C58" w:rsidR="00730C4E" w:rsidRPr="00FB6B66" w:rsidRDefault="000237BE" w:rsidP="006C5F15">
      <w:pPr>
        <w:spacing w:after="0" w:line="360" w:lineRule="auto"/>
        <w:ind w:firstLine="851"/>
        <w:jc w:val="both"/>
        <w:rPr>
          <w:rStyle w:val="Strong"/>
          <w:b w:val="0"/>
          <w:szCs w:val="24"/>
          <w:shd w:val="clear" w:color="auto" w:fill="FFFFFF"/>
          <w:lang w:val="hy-AM"/>
        </w:rPr>
      </w:pPr>
      <w:r w:rsidRPr="00FB6B66">
        <w:rPr>
          <w:rStyle w:val="Strong"/>
          <w:b w:val="0"/>
          <w:szCs w:val="24"/>
          <w:shd w:val="clear" w:color="auto" w:fill="FFFFFF"/>
          <w:lang w:val="hy-AM"/>
        </w:rPr>
        <w:t>«Հանրային առողջապահության մասին» Հայաստանի Հանրապետության 2024 թվականի փետրվարի 28-ի ՀՕ-114-Ն օրենքի 15-րդ հոդվածի 3-րդ մասով, 46-րդ հոդվածի 3-րդ մասով, 51-րդ հոդվածի 3-րդ մասով և 52-րդ հոդվածի 3-րդ մասով ամրագրված է, որ ախտահանում կամ միջատազերծում կամ կրծողազերծում իրականացնելու համար, արտադրական հսկողություն իրականացնելու համար, աշխատանքի հիգիենայի ծառայություններ մատուցելու համար և հանրային առողջապահական փորձաքննություն իրականացնելու համար անհրաժեշտ տեխնիկական և մասնագիտական որակավորման պահանջներն ու պայմանները սահմանում է Կառավարությունը:</w:t>
      </w:r>
    </w:p>
    <w:p w14:paraId="20AA5210" w14:textId="275D4DBB" w:rsidR="00730C4E" w:rsidRPr="00FB6B66" w:rsidRDefault="00913D4C" w:rsidP="006C5F15">
      <w:pPr>
        <w:spacing w:after="0" w:line="360" w:lineRule="auto"/>
        <w:ind w:firstLine="851"/>
        <w:jc w:val="both"/>
        <w:rPr>
          <w:bCs/>
          <w:szCs w:val="24"/>
          <w:shd w:val="clear" w:color="auto" w:fill="FFFFFF"/>
          <w:lang w:val="hy-AM"/>
        </w:rPr>
      </w:pPr>
      <w:r>
        <w:rPr>
          <w:rStyle w:val="Strong"/>
          <w:b w:val="0"/>
          <w:szCs w:val="24"/>
          <w:shd w:val="clear" w:color="auto" w:fill="FFFFFF"/>
          <w:lang w:val="hy-AM"/>
        </w:rPr>
        <w:t xml:space="preserve">Վերոնշյալ </w:t>
      </w:r>
      <w:r w:rsidRPr="00A41D58">
        <w:rPr>
          <w:szCs w:val="24"/>
          <w:lang w:val="hy-AM"/>
        </w:rPr>
        <w:t>բժշկական օգնության և սպասարկման ոչ բուժական բնույթի</w:t>
      </w:r>
      <w:r w:rsidRPr="00913D4C">
        <w:rPr>
          <w:szCs w:val="24"/>
          <w:lang w:val="hy-AM"/>
        </w:rPr>
        <w:t xml:space="preserve"> </w:t>
      </w:r>
      <w:r w:rsidRPr="00A41D58">
        <w:rPr>
          <w:szCs w:val="24"/>
          <w:lang w:val="hy-AM"/>
        </w:rPr>
        <w:t>լիցենզավորման ենթակա գործունեության տեսակներ</w:t>
      </w:r>
      <w:r>
        <w:rPr>
          <w:szCs w:val="24"/>
          <w:lang w:val="hy-AM"/>
        </w:rPr>
        <w:t>ը</w:t>
      </w:r>
      <w:r w:rsidR="00A65EA4" w:rsidRPr="00FB6B66">
        <w:rPr>
          <w:rStyle w:val="Strong"/>
          <w:b w:val="0"/>
          <w:szCs w:val="24"/>
          <w:shd w:val="clear" w:color="auto" w:fill="FFFFFF"/>
          <w:lang w:val="hy-AM"/>
        </w:rPr>
        <w:t xml:space="preserve"> </w:t>
      </w:r>
      <w:r w:rsidR="00BB23D1" w:rsidRPr="00FB6B66">
        <w:rPr>
          <w:rStyle w:val="Strong"/>
          <w:b w:val="0"/>
          <w:szCs w:val="24"/>
          <w:shd w:val="clear" w:color="auto" w:fill="FFFFFF"/>
          <w:lang w:val="hy-AM"/>
        </w:rPr>
        <w:t xml:space="preserve">Հայաստանի Հանրապետության կառավարության 2024 թվականի </w:t>
      </w:r>
      <w:r w:rsidR="00BB23D1" w:rsidRPr="00FB6B66">
        <w:rPr>
          <w:bCs/>
          <w:szCs w:val="24"/>
          <w:shd w:val="clear" w:color="auto" w:fill="FFFFFF"/>
          <w:lang w:val="hy-AM"/>
        </w:rPr>
        <w:t>դեկտեմբերի 19-ի N 2005-Ն որոշմամբ</w:t>
      </w:r>
      <w:r w:rsidR="00BB23D1">
        <w:rPr>
          <w:bCs/>
          <w:szCs w:val="24"/>
          <w:shd w:val="clear" w:color="auto" w:fill="FFFFFF"/>
          <w:lang w:val="hy-AM"/>
        </w:rPr>
        <w:t xml:space="preserve"> լրացվել են</w:t>
      </w:r>
      <w:r w:rsidR="00BB23D1" w:rsidRPr="00FB6B66">
        <w:rPr>
          <w:bCs/>
          <w:szCs w:val="24"/>
          <w:shd w:val="clear" w:color="auto" w:fill="FFFFFF"/>
          <w:lang w:val="hy-AM"/>
        </w:rPr>
        <w:t xml:space="preserve"> </w:t>
      </w:r>
      <w:r w:rsidRPr="00FB6B66">
        <w:rPr>
          <w:bCs/>
          <w:szCs w:val="24"/>
          <w:shd w:val="clear" w:color="auto" w:fill="FFFFFF"/>
          <w:lang w:val="hy-AM"/>
        </w:rPr>
        <w:t>Հայաստանի Հանրապետության կառավարության 2008 թվականի մարտի 27-ի N 276-Ն որոշման մեջ</w:t>
      </w:r>
      <w:r w:rsidR="00BB23D1">
        <w:rPr>
          <w:bCs/>
          <w:szCs w:val="24"/>
          <w:shd w:val="clear" w:color="auto" w:fill="FFFFFF"/>
          <w:lang w:val="hy-AM"/>
        </w:rPr>
        <w:t>։</w:t>
      </w:r>
      <w:r w:rsidRPr="00FB6B66">
        <w:rPr>
          <w:rStyle w:val="Strong"/>
          <w:b w:val="0"/>
          <w:szCs w:val="24"/>
          <w:shd w:val="clear" w:color="auto" w:fill="FFFFFF"/>
          <w:lang w:val="hy-AM"/>
        </w:rPr>
        <w:t xml:space="preserve"> </w:t>
      </w:r>
    </w:p>
    <w:p w14:paraId="767A5627" w14:textId="77777777" w:rsidR="005E46D7" w:rsidRPr="00913D4C" w:rsidRDefault="005E46D7" w:rsidP="006C5F15">
      <w:pPr>
        <w:spacing w:after="0" w:line="360" w:lineRule="auto"/>
        <w:ind w:firstLine="851"/>
        <w:jc w:val="both"/>
        <w:rPr>
          <w:szCs w:val="24"/>
          <w:lang w:val="hy-AM"/>
        </w:rPr>
      </w:pPr>
      <w:r w:rsidRPr="00FB6B66">
        <w:rPr>
          <w:bCs/>
          <w:szCs w:val="24"/>
          <w:shd w:val="clear" w:color="auto" w:fill="FFFFFF"/>
          <w:lang w:val="hy-AM"/>
        </w:rPr>
        <w:t xml:space="preserve">Հայաստանի Հանրապետության վարչապետի 2024 թվականի հունիսի 17-ի ««Հանրային առողջապահության մասին» Հայաստանի Հանրապետության օրենքի կիրարկումն ապահովող միջոցառումների ցանկը հաստատելու մասին» N 574-Ա որոշման հավելվածի 5-րդ կետով ամրագրված է </w:t>
      </w:r>
      <w:r w:rsidRPr="00FB6B66">
        <w:rPr>
          <w:bCs/>
          <w:shd w:val="clear" w:color="auto" w:fill="FFFFFF"/>
          <w:lang w:val="hy-AM"/>
        </w:rPr>
        <w:t xml:space="preserve">«ՀՀ կառավարության 2002 թվականի հունիսի 29-ի N 867 որոշման մեջ փոփոխություններ և լրացումներ կատարելու մասին» ՀՀ կառավարության որոշման նախագիծը ՀՀ </w:t>
      </w:r>
      <w:r w:rsidRPr="00FB6B66">
        <w:rPr>
          <w:bCs/>
          <w:szCs w:val="24"/>
          <w:shd w:val="clear" w:color="auto" w:fill="FFFFFF"/>
          <w:lang w:val="hy-AM"/>
        </w:rPr>
        <w:t>վարչապետի աշխատակազմ ներկայացնելու պահանջ:</w:t>
      </w:r>
    </w:p>
    <w:p w14:paraId="093DA382" w14:textId="4F64D700" w:rsidR="00304A34" w:rsidRDefault="00151C34" w:rsidP="006C5F15">
      <w:pPr>
        <w:spacing w:after="0" w:line="360" w:lineRule="auto"/>
        <w:ind w:firstLine="851"/>
        <w:jc w:val="both"/>
        <w:rPr>
          <w:bCs/>
          <w:shd w:val="clear" w:color="auto" w:fill="FFFFFF"/>
          <w:lang w:val="hy-AM"/>
        </w:rPr>
      </w:pPr>
      <w:r w:rsidRPr="00913D4C">
        <w:rPr>
          <w:szCs w:val="24"/>
          <w:lang w:val="hy-AM"/>
        </w:rPr>
        <w:t>Նախագծ</w:t>
      </w:r>
      <w:r w:rsidR="00913D4C">
        <w:rPr>
          <w:szCs w:val="24"/>
          <w:lang w:val="hy-AM"/>
        </w:rPr>
        <w:t>ի ընդունումը բխում է</w:t>
      </w:r>
      <w:r w:rsidR="00F624E9">
        <w:rPr>
          <w:szCs w:val="24"/>
          <w:lang w:val="hy-AM"/>
        </w:rPr>
        <w:t xml:space="preserve"> </w:t>
      </w:r>
      <w:r w:rsidRPr="00FB6B66">
        <w:rPr>
          <w:bCs/>
          <w:shd w:val="clear" w:color="auto" w:fill="FFFFFF"/>
          <w:lang w:val="hy-AM"/>
        </w:rPr>
        <w:t>բժշկական օգնության և սպասարկման ոչ բուժական բնույթի լիցենզավորման ենթակա գործունեության տեսակների համար անհրաժեշտ տեխնիկական և մասնագիտական որակավորման հստակ և օբյեկտիվ պահանջներ</w:t>
      </w:r>
      <w:r w:rsidR="00D90C39">
        <w:rPr>
          <w:bCs/>
          <w:shd w:val="clear" w:color="auto" w:fill="FFFFFF"/>
          <w:lang w:val="hy-AM"/>
        </w:rPr>
        <w:t>ի</w:t>
      </w:r>
      <w:r w:rsidRPr="00FB6B66">
        <w:rPr>
          <w:bCs/>
          <w:shd w:val="clear" w:color="auto" w:fill="FFFFFF"/>
          <w:lang w:val="hy-AM"/>
        </w:rPr>
        <w:t xml:space="preserve"> ու պայմաններ</w:t>
      </w:r>
      <w:r w:rsidR="00D90C39">
        <w:rPr>
          <w:bCs/>
          <w:shd w:val="clear" w:color="auto" w:fill="FFFFFF"/>
          <w:lang w:val="hy-AM"/>
        </w:rPr>
        <w:t>ի</w:t>
      </w:r>
      <w:r w:rsidRPr="00FB6B66">
        <w:rPr>
          <w:bCs/>
          <w:shd w:val="clear" w:color="auto" w:fill="FFFFFF"/>
          <w:lang w:val="hy-AM"/>
        </w:rPr>
        <w:t xml:space="preserve"> </w:t>
      </w:r>
      <w:r w:rsidR="00F624E9">
        <w:rPr>
          <w:bCs/>
          <w:shd w:val="clear" w:color="auto" w:fill="FFFFFF"/>
          <w:lang w:val="hy-AM"/>
        </w:rPr>
        <w:t>սահմանման</w:t>
      </w:r>
      <w:r w:rsidR="00913D4C" w:rsidRPr="00913D4C">
        <w:rPr>
          <w:szCs w:val="24"/>
          <w:lang w:val="hy-AM"/>
        </w:rPr>
        <w:t xml:space="preserve"> </w:t>
      </w:r>
      <w:r w:rsidR="00913D4C">
        <w:rPr>
          <w:szCs w:val="24"/>
          <w:lang w:val="hy-AM"/>
        </w:rPr>
        <w:t>անհրա</w:t>
      </w:r>
      <w:r w:rsidR="00F624E9">
        <w:rPr>
          <w:szCs w:val="24"/>
          <w:lang w:val="hy-AM"/>
        </w:rPr>
        <w:t>ժեշտությունից:</w:t>
      </w:r>
    </w:p>
    <w:p w14:paraId="596A0194" w14:textId="77777777" w:rsidR="000F3513" w:rsidRPr="00FB6B66" w:rsidRDefault="000F3513" w:rsidP="006C5F15">
      <w:pPr>
        <w:spacing w:after="0" w:line="360" w:lineRule="auto"/>
        <w:ind w:firstLine="851"/>
        <w:jc w:val="both"/>
        <w:rPr>
          <w:bCs/>
          <w:shd w:val="clear" w:color="auto" w:fill="FFFFFF"/>
          <w:lang w:val="hy-AM"/>
        </w:rPr>
      </w:pPr>
    </w:p>
    <w:p w14:paraId="51F657B1" w14:textId="5DDBB088" w:rsidR="00234A2C" w:rsidRPr="00FB6B66" w:rsidRDefault="006C5F15" w:rsidP="006C5F15">
      <w:pPr>
        <w:spacing w:after="0" w:line="360" w:lineRule="auto"/>
        <w:ind w:firstLine="851"/>
        <w:jc w:val="both"/>
        <w:rPr>
          <w:rFonts w:cs="Courier New"/>
          <w:b/>
          <w:szCs w:val="24"/>
          <w:lang w:val="hy-AM"/>
        </w:rPr>
      </w:pPr>
      <w:r>
        <w:rPr>
          <w:szCs w:val="24"/>
          <w:lang w:val="hy-AM"/>
        </w:rPr>
        <w:t xml:space="preserve"> </w:t>
      </w:r>
      <w:r w:rsidR="00234A2C" w:rsidRPr="00FB6B66">
        <w:rPr>
          <w:b/>
          <w:szCs w:val="24"/>
          <w:lang w:val="hy-AM"/>
        </w:rPr>
        <w:t xml:space="preserve">2. </w:t>
      </w:r>
      <w:r w:rsidR="00234A2C" w:rsidRPr="00FB6B66">
        <w:rPr>
          <w:rFonts w:cs="Courier New"/>
          <w:b/>
          <w:szCs w:val="24"/>
          <w:lang w:val="hy-AM"/>
        </w:rPr>
        <w:t>Առաջարկվող կարգավորումների</w:t>
      </w:r>
      <w:r w:rsidR="00502D59" w:rsidRPr="00FB6B66">
        <w:rPr>
          <w:rFonts w:cs="Courier New"/>
          <w:b/>
          <w:szCs w:val="24"/>
          <w:lang w:val="hy-AM"/>
        </w:rPr>
        <w:t xml:space="preserve"> նպատակը և</w:t>
      </w:r>
      <w:r w:rsidR="00234A2C" w:rsidRPr="00FB6B66">
        <w:rPr>
          <w:rFonts w:cs="Courier New"/>
          <w:b/>
          <w:szCs w:val="24"/>
          <w:lang w:val="hy-AM"/>
        </w:rPr>
        <w:t xml:space="preserve"> բնույթը</w:t>
      </w:r>
    </w:p>
    <w:p w14:paraId="2C8FBF7A" w14:textId="7A05BB33" w:rsidR="00502D59" w:rsidRPr="00FB6B66" w:rsidRDefault="009B6C2D" w:rsidP="006C5F15">
      <w:pPr>
        <w:shd w:val="clear" w:color="auto" w:fill="FFFFFF"/>
        <w:spacing w:line="360" w:lineRule="auto"/>
        <w:ind w:firstLine="851"/>
        <w:jc w:val="both"/>
        <w:rPr>
          <w:szCs w:val="24"/>
          <w:lang w:val="hy-AM"/>
        </w:rPr>
      </w:pPr>
      <w:r w:rsidRPr="00FB6B66">
        <w:rPr>
          <w:szCs w:val="24"/>
          <w:lang w:val="hy-AM"/>
        </w:rPr>
        <w:t>Նախագ</w:t>
      </w:r>
      <w:r w:rsidR="00151C34" w:rsidRPr="00FB6B66">
        <w:rPr>
          <w:szCs w:val="24"/>
          <w:lang w:val="hy-AM"/>
        </w:rPr>
        <w:t>ծով առաջարկվում է փոփոխություն և լրացումներ կատարել Հայաստանի Հանրապետության կառավարության 2002 թվականի հունիսի 29-ի N 867 որոշման մեջ, սահման</w:t>
      </w:r>
      <w:r w:rsidR="00E13BFB">
        <w:rPr>
          <w:szCs w:val="24"/>
          <w:lang w:val="hy-AM"/>
        </w:rPr>
        <w:t xml:space="preserve">ելով </w:t>
      </w:r>
      <w:r w:rsidR="00E13BFB" w:rsidRPr="00FB6B66">
        <w:rPr>
          <w:szCs w:val="24"/>
          <w:lang w:val="hy-AM"/>
        </w:rPr>
        <w:t>անհրաժեշտ տեխնիկական և մասնագիտական որակավորման պահանջներն ու պայմաններ</w:t>
      </w:r>
      <w:r w:rsidR="00E13BFB" w:rsidRPr="00BE3EC7">
        <w:rPr>
          <w:szCs w:val="24"/>
          <w:lang w:val="hy-AM"/>
        </w:rPr>
        <w:t xml:space="preserve"> </w:t>
      </w:r>
      <w:r w:rsidR="00E13BFB" w:rsidRPr="00FB6B66">
        <w:rPr>
          <w:rStyle w:val="Strong"/>
          <w:b w:val="0"/>
          <w:szCs w:val="24"/>
          <w:shd w:val="clear" w:color="auto" w:fill="FFFFFF"/>
          <w:lang w:val="hy-AM"/>
        </w:rPr>
        <w:t xml:space="preserve">Հայաստանի Հանրապետության կառավարության 2024 թվականի </w:t>
      </w:r>
      <w:r w:rsidR="00E13BFB" w:rsidRPr="00FB6B66">
        <w:rPr>
          <w:bCs/>
          <w:szCs w:val="24"/>
          <w:shd w:val="clear" w:color="auto" w:fill="FFFFFF"/>
          <w:lang w:val="hy-AM"/>
        </w:rPr>
        <w:t>դեկտեմբերի 19-ի N 2005-Ն որոշմամբ</w:t>
      </w:r>
      <w:r w:rsidR="00E13BFB">
        <w:rPr>
          <w:bCs/>
          <w:szCs w:val="24"/>
          <w:shd w:val="clear" w:color="auto" w:fill="FFFFFF"/>
          <w:lang w:val="hy-AM"/>
        </w:rPr>
        <w:t xml:space="preserve"> լրացված</w:t>
      </w:r>
      <w:r w:rsidR="00E13BFB">
        <w:rPr>
          <w:szCs w:val="24"/>
          <w:lang w:val="hy-AM"/>
        </w:rPr>
        <w:t xml:space="preserve"> </w:t>
      </w:r>
      <w:r w:rsidR="00E13BFB" w:rsidRPr="00FB6B66">
        <w:rPr>
          <w:bCs/>
          <w:shd w:val="clear" w:color="auto" w:fill="FFFFFF"/>
          <w:lang w:val="hy-AM"/>
        </w:rPr>
        <w:t>բժշկական օգնության և սպասարկման ոչ բուժական բնույթի լիցենզավորման ենթակա գործունեության տեսակների</w:t>
      </w:r>
      <w:r w:rsidR="00E13BFB" w:rsidRPr="00FB6B66">
        <w:rPr>
          <w:szCs w:val="24"/>
          <w:lang w:val="hy-AM"/>
        </w:rPr>
        <w:t xml:space="preserve"> </w:t>
      </w:r>
      <w:r w:rsidR="00E13BFB">
        <w:rPr>
          <w:szCs w:val="24"/>
          <w:lang w:val="hy-AM"/>
        </w:rPr>
        <w:t>համար</w:t>
      </w:r>
      <w:r w:rsidR="00151C34" w:rsidRPr="00FB6B66">
        <w:rPr>
          <w:szCs w:val="24"/>
          <w:lang w:val="hy-AM"/>
        </w:rPr>
        <w:t>:</w:t>
      </w:r>
    </w:p>
    <w:p w14:paraId="21B187B6" w14:textId="77777777" w:rsidR="00502D59" w:rsidRPr="00FB6B66" w:rsidRDefault="00502D59" w:rsidP="006C5F15">
      <w:pPr>
        <w:spacing w:after="0" w:line="360" w:lineRule="auto"/>
        <w:ind w:firstLine="851"/>
        <w:jc w:val="both"/>
        <w:rPr>
          <w:rFonts w:eastAsia="Calibri"/>
          <w:b/>
          <w:szCs w:val="24"/>
          <w:lang w:val="hy-AM"/>
        </w:rPr>
      </w:pPr>
      <w:r w:rsidRPr="00FB6B66">
        <w:rPr>
          <w:rFonts w:eastAsia="Calibri"/>
          <w:b/>
          <w:szCs w:val="24"/>
          <w:lang w:val="hy-AM"/>
        </w:rPr>
        <w:t>3. Լրացուցիչ ֆինանսական միջոցների անհրաժեշտության և պետական բյուջեի եկամուտներում և ծախսերում սպասվելիք փոփոխության մասին</w:t>
      </w:r>
    </w:p>
    <w:p w14:paraId="32B0032C" w14:textId="3EC8751D" w:rsidR="004B094D" w:rsidRPr="00FB6B66" w:rsidRDefault="004B094D" w:rsidP="006C5F15">
      <w:pPr>
        <w:spacing w:after="0" w:line="360" w:lineRule="auto"/>
        <w:ind w:firstLine="851"/>
        <w:jc w:val="both"/>
        <w:rPr>
          <w:szCs w:val="24"/>
          <w:lang w:val="hy-AM"/>
        </w:rPr>
      </w:pPr>
      <w:r w:rsidRPr="00FB6B66">
        <w:rPr>
          <w:szCs w:val="24"/>
          <w:lang w:val="hy-AM"/>
        </w:rPr>
        <w:t>Նախագծի ընդունման կապակցությամբ պետական կամ տեղական ինքնակառավարման մարմինների բյուջեներում ծախuերի և եկամուտների ավելացում կամ նվազեցում չի սպասվում:</w:t>
      </w:r>
      <w:r w:rsidR="006C5F15">
        <w:rPr>
          <w:szCs w:val="24"/>
          <w:lang w:val="hy-AM"/>
        </w:rPr>
        <w:t xml:space="preserve"> </w:t>
      </w:r>
    </w:p>
    <w:p w14:paraId="25766F5A" w14:textId="77777777" w:rsidR="004B6A65" w:rsidRPr="00FB6B66" w:rsidRDefault="004B6A65" w:rsidP="006C5F15">
      <w:pPr>
        <w:spacing w:after="0" w:line="360" w:lineRule="auto"/>
        <w:ind w:firstLine="851"/>
        <w:jc w:val="both"/>
        <w:rPr>
          <w:szCs w:val="24"/>
          <w:lang w:val="hy-AM"/>
        </w:rPr>
      </w:pPr>
    </w:p>
    <w:p w14:paraId="4B9A844B" w14:textId="1C00CBE4" w:rsidR="00234A2C" w:rsidRPr="00FB6B66" w:rsidRDefault="006C5F15" w:rsidP="006C5F15">
      <w:pPr>
        <w:spacing w:after="0" w:line="360" w:lineRule="auto"/>
        <w:ind w:firstLine="851"/>
        <w:jc w:val="both"/>
        <w:rPr>
          <w:b/>
          <w:szCs w:val="24"/>
          <w:lang w:val="hy-AM"/>
        </w:rPr>
      </w:pPr>
      <w:r>
        <w:rPr>
          <w:b/>
          <w:szCs w:val="24"/>
          <w:shd w:val="clear" w:color="auto" w:fill="FFFFFF"/>
          <w:lang w:val="hy-AM"/>
        </w:rPr>
        <w:t xml:space="preserve"> </w:t>
      </w:r>
      <w:r w:rsidR="004B094D" w:rsidRPr="00FB6B66">
        <w:rPr>
          <w:b/>
          <w:szCs w:val="24"/>
          <w:shd w:val="clear" w:color="auto" w:fill="FFFFFF"/>
          <w:lang w:val="hy-AM"/>
        </w:rPr>
        <w:t>4</w:t>
      </w:r>
      <w:r w:rsidR="00234A2C" w:rsidRPr="00FB6B66">
        <w:rPr>
          <w:b/>
          <w:szCs w:val="24"/>
          <w:lang w:val="hy-AM"/>
        </w:rPr>
        <w:t xml:space="preserve">. </w:t>
      </w:r>
      <w:r w:rsidR="00234A2C" w:rsidRPr="00FB6B66">
        <w:rPr>
          <w:rFonts w:cs="Courier New"/>
          <w:b/>
          <w:szCs w:val="24"/>
          <w:lang w:val="hy-AM"/>
        </w:rPr>
        <w:t>Նախագծի մշակման գործընթացում ներգրավված ինստիտուտները և անձինք</w:t>
      </w:r>
    </w:p>
    <w:p w14:paraId="01D21EB8" w14:textId="293F7877" w:rsidR="00234A2C" w:rsidRPr="00FB6B66" w:rsidRDefault="00234A2C" w:rsidP="006C5F15">
      <w:pPr>
        <w:spacing w:after="0" w:line="360" w:lineRule="auto"/>
        <w:ind w:firstLine="851"/>
        <w:jc w:val="both"/>
        <w:rPr>
          <w:szCs w:val="24"/>
          <w:lang w:val="hy-AM"/>
        </w:rPr>
      </w:pPr>
      <w:r w:rsidRPr="00FB6B66">
        <w:rPr>
          <w:szCs w:val="24"/>
          <w:lang w:val="hy-AM"/>
        </w:rPr>
        <w:t xml:space="preserve">Նախագիծը մշակվել է </w:t>
      </w:r>
      <w:r w:rsidR="008E0D0B" w:rsidRPr="00FB6B66">
        <w:rPr>
          <w:szCs w:val="24"/>
          <w:lang w:val="hy-AM"/>
        </w:rPr>
        <w:t xml:space="preserve">ԱՆ «Հիվանդությունների վերահսկման և կանխարգելման ազգային կենտրոն» </w:t>
      </w:r>
      <w:r w:rsidR="00612AF8" w:rsidRPr="00FB6B66">
        <w:rPr>
          <w:szCs w:val="24"/>
          <w:lang w:val="hy-AM"/>
        </w:rPr>
        <w:t xml:space="preserve">պետական ոչ առևտրային կազմակերպության </w:t>
      </w:r>
      <w:r w:rsidR="004B6A65" w:rsidRPr="00FB6B66">
        <w:rPr>
          <w:szCs w:val="24"/>
          <w:lang w:val="hy-AM"/>
        </w:rPr>
        <w:t>աշխատող</w:t>
      </w:r>
      <w:r w:rsidRPr="00FB6B66">
        <w:rPr>
          <w:szCs w:val="24"/>
          <w:lang w:val="hy-AM"/>
        </w:rPr>
        <w:t>ների</w:t>
      </w:r>
      <w:r w:rsidR="00A35656" w:rsidRPr="00FB6B66">
        <w:rPr>
          <w:szCs w:val="24"/>
          <w:lang w:val="hy-AM"/>
        </w:rPr>
        <w:t xml:space="preserve"> </w:t>
      </w:r>
      <w:r w:rsidR="00A35656" w:rsidRPr="00FB6B66">
        <w:rPr>
          <w:bCs/>
          <w:szCs w:val="24"/>
          <w:lang w:val="hy-AM"/>
        </w:rPr>
        <w:t>կողմից</w:t>
      </w:r>
      <w:r w:rsidR="00A35656" w:rsidRPr="00FB6B66">
        <w:rPr>
          <w:szCs w:val="24"/>
          <w:lang w:val="hy-AM"/>
        </w:rPr>
        <w:t>:</w:t>
      </w:r>
      <w:r w:rsidRPr="00FB6B66">
        <w:rPr>
          <w:szCs w:val="24"/>
          <w:lang w:val="hy-AM"/>
        </w:rPr>
        <w:t xml:space="preserve"> </w:t>
      </w:r>
    </w:p>
    <w:p w14:paraId="6568DE80" w14:textId="77777777" w:rsidR="00234A2C" w:rsidRPr="00FB6B66" w:rsidRDefault="00DA7397" w:rsidP="006C5F15">
      <w:pPr>
        <w:spacing w:after="0" w:line="360" w:lineRule="auto"/>
        <w:ind w:firstLine="851"/>
        <w:jc w:val="both"/>
        <w:rPr>
          <w:b/>
          <w:szCs w:val="24"/>
          <w:lang w:val="hy-AM"/>
        </w:rPr>
      </w:pPr>
      <w:r w:rsidRPr="00FB6B66">
        <w:rPr>
          <w:b/>
          <w:szCs w:val="24"/>
          <w:lang w:val="hy-AM"/>
        </w:rPr>
        <w:t>5</w:t>
      </w:r>
      <w:r w:rsidR="00234A2C" w:rsidRPr="00FB6B66">
        <w:rPr>
          <w:b/>
          <w:szCs w:val="24"/>
          <w:lang w:val="hy-AM"/>
        </w:rPr>
        <w:t>. Ակնկալվող արդյունքը</w:t>
      </w:r>
    </w:p>
    <w:p w14:paraId="0C7B1813" w14:textId="4EECAFA7" w:rsidR="005E46D7" w:rsidRPr="000F3513" w:rsidRDefault="00CE341C" w:rsidP="006C5F15">
      <w:pPr>
        <w:pStyle w:val="BodyTextIndent3"/>
        <w:spacing w:after="0" w:line="360" w:lineRule="auto"/>
        <w:ind w:left="0" w:firstLine="851"/>
        <w:jc w:val="both"/>
        <w:rPr>
          <w:rFonts w:ascii="GHEA Grapalat" w:hAnsi="GHEA Grapalat"/>
          <w:bCs/>
          <w:sz w:val="24"/>
          <w:szCs w:val="24"/>
          <w:shd w:val="clear" w:color="auto" w:fill="FFFFFF"/>
          <w:lang w:val="hy-AM"/>
        </w:rPr>
      </w:pPr>
      <w:r w:rsidRPr="00FB6B66">
        <w:rPr>
          <w:rFonts w:ascii="GHEA Grapalat" w:hAnsi="GHEA Grapalat"/>
          <w:sz w:val="24"/>
          <w:szCs w:val="24"/>
          <w:lang w:val="hy-AM"/>
        </w:rPr>
        <w:tab/>
      </w:r>
      <w:r w:rsidR="005E46D7" w:rsidRPr="00FB6B66">
        <w:rPr>
          <w:rFonts w:ascii="GHEA Grapalat" w:hAnsi="GHEA Grapalat"/>
          <w:sz w:val="24"/>
          <w:szCs w:val="24"/>
          <w:lang w:val="hy-AM"/>
        </w:rPr>
        <w:t xml:space="preserve">Նախագծի </w:t>
      </w:r>
      <w:r w:rsidR="00A35656" w:rsidRPr="00FB6B66">
        <w:rPr>
          <w:rFonts w:ascii="GHEA Grapalat" w:hAnsi="GHEA Grapalat"/>
          <w:sz w:val="24"/>
          <w:szCs w:val="24"/>
          <w:shd w:val="clear" w:color="auto" w:fill="FFFFFF"/>
          <w:lang w:val="hy-AM"/>
        </w:rPr>
        <w:t>ընդունմամբ</w:t>
      </w:r>
      <w:r w:rsidR="00E13BFB">
        <w:rPr>
          <w:rFonts w:ascii="GHEA Grapalat" w:hAnsi="GHEA Grapalat"/>
          <w:sz w:val="24"/>
          <w:szCs w:val="24"/>
          <w:shd w:val="clear" w:color="auto" w:fill="FFFFFF"/>
          <w:lang w:val="hy-AM"/>
        </w:rPr>
        <w:t xml:space="preserve"> կսահմա</w:t>
      </w:r>
      <w:r w:rsidR="00E13BFB" w:rsidRPr="002B6AF1">
        <w:rPr>
          <w:rFonts w:ascii="GHEA Grapalat" w:hAnsi="GHEA Grapalat"/>
          <w:sz w:val="24"/>
          <w:szCs w:val="24"/>
          <w:lang w:val="hy-AM"/>
        </w:rPr>
        <w:t xml:space="preserve">նվեն անհրաժեշտ տեխնիկական և մասնագիտական որակավորման պահանջներ ու պայմաններ </w:t>
      </w:r>
      <w:r w:rsidR="00E13BFB" w:rsidRPr="00AB7C5E">
        <w:rPr>
          <w:rFonts w:ascii="GHEA Grapalat" w:hAnsi="GHEA Grapalat"/>
          <w:bCs/>
          <w:sz w:val="24"/>
          <w:lang w:val="hy-AM"/>
        </w:rPr>
        <w:t xml:space="preserve">Հայաստանի Հանրապետության կառավարության 2024 թվականի </w:t>
      </w:r>
      <w:r w:rsidR="00E13BFB" w:rsidRPr="002B6AF1">
        <w:rPr>
          <w:rFonts w:ascii="GHEA Grapalat" w:hAnsi="GHEA Grapalat"/>
          <w:sz w:val="24"/>
          <w:szCs w:val="24"/>
          <w:lang w:val="hy-AM"/>
        </w:rPr>
        <w:t>դեկտեմբերի 19-ի N 2005-Ն որոշմամբ լրացված բժշկական օգնության և սպասարկման ոչ բուժական բնույթի լիցենզավորման ենթակա գործունեության տեսակների համար</w:t>
      </w:r>
      <w:r w:rsidR="005E46D7" w:rsidRPr="002B6AF1">
        <w:rPr>
          <w:rFonts w:ascii="GHEA Grapalat" w:hAnsi="GHEA Grapalat"/>
          <w:sz w:val="24"/>
          <w:szCs w:val="24"/>
          <w:lang w:val="hy-AM"/>
        </w:rPr>
        <w:t>:</w:t>
      </w:r>
    </w:p>
    <w:p w14:paraId="3886EB1D" w14:textId="77777777" w:rsidR="00234A2C" w:rsidRPr="00FB6B66" w:rsidRDefault="00234A2C" w:rsidP="006C5F15">
      <w:pPr>
        <w:pStyle w:val="NormalWeb"/>
        <w:widowControl w:val="0"/>
        <w:spacing w:before="0" w:beforeAutospacing="0" w:after="0" w:afterAutospacing="0" w:line="360" w:lineRule="auto"/>
        <w:ind w:right="113" w:firstLine="851"/>
        <w:jc w:val="both"/>
        <w:rPr>
          <w:rFonts w:ascii="Sylfaen" w:eastAsiaTheme="minorHAnsi" w:hAnsi="Sylfaen" w:cstheme="minorBidi"/>
          <w:b/>
          <w:noProof/>
          <w:lang w:val="hy-AM"/>
        </w:rPr>
      </w:pPr>
      <w:r w:rsidRPr="00FB6B66">
        <w:rPr>
          <w:rFonts w:ascii="GHEA Grapalat" w:eastAsiaTheme="minorHAnsi" w:hAnsi="GHEA Grapalat" w:cstheme="minorBidi"/>
          <w:b/>
          <w:noProof/>
          <w:lang w:val="hy-AM"/>
        </w:rPr>
        <w:t>6</w:t>
      </w:r>
      <w:r w:rsidRPr="00FB6B66">
        <w:rPr>
          <w:rFonts w:ascii="Cambria Math" w:eastAsiaTheme="minorHAnsi" w:hAnsi="Cambria Math" w:cs="Cambria Math"/>
          <w:b/>
          <w:noProof/>
          <w:lang w:val="hy-AM"/>
        </w:rPr>
        <w:t>․</w:t>
      </w:r>
      <w:r w:rsidRPr="00FB6B66">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50C388F1" w14:textId="23681F6B" w:rsidR="00E13BFB" w:rsidRDefault="00234A2C" w:rsidP="006C5F15">
      <w:pPr>
        <w:spacing w:after="0" w:line="360" w:lineRule="auto"/>
        <w:ind w:firstLine="851"/>
        <w:jc w:val="both"/>
        <w:rPr>
          <w:rFonts w:cstheme="minorBidi"/>
          <w:noProof/>
          <w:lang w:val="hy-AM"/>
        </w:rPr>
      </w:pPr>
      <w:r w:rsidRPr="00FB6B66">
        <w:rPr>
          <w:rFonts w:cstheme="minorBidi"/>
          <w:noProof/>
          <w:lang w:val="hy-AM"/>
        </w:rPr>
        <w:t>Նախագ</w:t>
      </w:r>
      <w:r w:rsidR="005E46D7" w:rsidRPr="00FB6B66">
        <w:rPr>
          <w:rFonts w:cstheme="minorBidi"/>
          <w:noProof/>
          <w:lang w:val="hy-AM"/>
        </w:rPr>
        <w:t>իծը</w:t>
      </w:r>
      <w:r w:rsidR="00A552AA" w:rsidRPr="00FB6B66">
        <w:rPr>
          <w:rFonts w:cstheme="minorBidi"/>
          <w:noProof/>
          <w:lang w:val="hy-AM"/>
        </w:rPr>
        <w:t xml:space="preserve"> </w:t>
      </w:r>
      <w:r w:rsidR="00E13BFB">
        <w:rPr>
          <w:rFonts w:cstheme="minorBidi"/>
          <w:noProof/>
          <w:lang w:val="hy-AM"/>
        </w:rPr>
        <w:t xml:space="preserve">կապված է ՀՀ կառավարության 2021 թվականի նոյեմբերի 24-ի </w:t>
      </w:r>
      <w:r w:rsidR="00E13BFB" w:rsidRPr="0041395C">
        <w:rPr>
          <w:rFonts w:cstheme="minorBidi"/>
          <w:b/>
          <w:bCs/>
          <w:noProof/>
          <w:szCs w:val="24"/>
          <w:lang w:val="hy-AM"/>
        </w:rPr>
        <w:t>«</w:t>
      </w:r>
      <w:r w:rsidR="00E13BFB">
        <w:rPr>
          <w:rStyle w:val="Strong"/>
          <w:b w:val="0"/>
          <w:bCs w:val="0"/>
          <w:szCs w:val="24"/>
          <w:shd w:val="clear" w:color="auto" w:fill="FFFFFF"/>
          <w:lang w:val="hy-AM"/>
        </w:rPr>
        <w:t>Հ</w:t>
      </w:r>
      <w:r w:rsidR="00E13BFB" w:rsidRPr="0041395C">
        <w:rPr>
          <w:rStyle w:val="Strong"/>
          <w:b w:val="0"/>
          <w:bCs w:val="0"/>
          <w:szCs w:val="24"/>
          <w:shd w:val="clear" w:color="auto" w:fill="FFFFFF"/>
          <w:lang w:val="hy-AM"/>
        </w:rPr>
        <w:t xml:space="preserve">այաստանի </w:t>
      </w:r>
      <w:r w:rsidR="00E13BFB">
        <w:rPr>
          <w:rStyle w:val="Strong"/>
          <w:b w:val="0"/>
          <w:bCs w:val="0"/>
          <w:szCs w:val="24"/>
          <w:shd w:val="clear" w:color="auto" w:fill="FFFFFF"/>
          <w:lang w:val="hy-AM"/>
        </w:rPr>
        <w:t>Հ</w:t>
      </w:r>
      <w:r w:rsidR="00E13BFB" w:rsidRPr="0041395C">
        <w:rPr>
          <w:rStyle w:val="Strong"/>
          <w:b w:val="0"/>
          <w:bCs w:val="0"/>
          <w:szCs w:val="24"/>
          <w:shd w:val="clear" w:color="auto" w:fill="FFFFFF"/>
          <w:lang w:val="hy-AM"/>
        </w:rPr>
        <w:t xml:space="preserve">անրապետության կառավարության 2021-2026 թվականների </w:t>
      </w:r>
      <w:r w:rsidR="00E13BFB" w:rsidRPr="0041395C">
        <w:rPr>
          <w:rStyle w:val="Strong"/>
          <w:b w:val="0"/>
          <w:bCs w:val="0"/>
          <w:szCs w:val="24"/>
          <w:shd w:val="clear" w:color="auto" w:fill="FFFFFF"/>
          <w:lang w:val="hy-AM"/>
        </w:rPr>
        <w:lastRenderedPageBreak/>
        <w:t>գործունեության միջոցառումների ծրագիրը հաստատելու մասին»</w:t>
      </w:r>
      <w:r w:rsidR="00E13BFB">
        <w:rPr>
          <w:rFonts w:cstheme="minorBidi"/>
          <w:noProof/>
          <w:lang w:val="hy-AM"/>
        </w:rPr>
        <w:t xml:space="preserve"> թիվ 1902-Լ որոշման 1-ին հավելվածի «</w:t>
      </w:r>
      <w:r w:rsidR="00E13BFB">
        <w:rPr>
          <w:szCs w:val="24"/>
          <w:lang w:val="hy-AM"/>
        </w:rPr>
        <w:t>Առողջապահության նախարարություն</w:t>
      </w:r>
      <w:r w:rsidR="00E13BFB">
        <w:rPr>
          <w:rFonts w:cstheme="minorBidi"/>
          <w:noProof/>
          <w:lang w:val="hy-AM"/>
        </w:rPr>
        <w:t xml:space="preserve">» բաժնի 19-րդ կետի 19.1-րդ ենթակետի հետ և բխում է </w:t>
      </w:r>
      <w:r w:rsidR="00E13BFB" w:rsidRPr="00FB6B66">
        <w:rPr>
          <w:rStyle w:val="Strong"/>
          <w:b w:val="0"/>
          <w:szCs w:val="24"/>
          <w:shd w:val="clear" w:color="auto" w:fill="FFFFFF"/>
          <w:lang w:val="hy-AM"/>
        </w:rPr>
        <w:t>«Հանրային առողջապահության մասին» Հայաստանի Հանրապետության 2024 թվականի փետրվարի 28-ի ՀՕ-114-Ն օրենքի 15-րդ հոդվածի 3-րդ, 46-րդ հոդվածի 3-րդ, 51-րդ հոդվածի 3-րդ և 52-րդ հոդվածի 3-րդ մաս</w:t>
      </w:r>
      <w:r w:rsidR="00541458">
        <w:rPr>
          <w:rStyle w:val="Strong"/>
          <w:b w:val="0"/>
          <w:szCs w:val="24"/>
          <w:shd w:val="clear" w:color="auto" w:fill="FFFFFF"/>
          <w:lang w:val="hy-AM"/>
        </w:rPr>
        <w:t>երից</w:t>
      </w:r>
      <w:r w:rsidR="00E13BFB">
        <w:rPr>
          <w:szCs w:val="24"/>
          <w:lang w:val="hy-AM"/>
        </w:rPr>
        <w:t xml:space="preserve">, </w:t>
      </w:r>
      <w:r w:rsidR="00E13BFB" w:rsidRPr="00732138">
        <w:rPr>
          <w:lang w:val="hy-AM"/>
        </w:rPr>
        <w:t>ՀՀ վարչապետի 2024 թվականի հունիսի 17-ի</w:t>
      </w:r>
      <w:r w:rsidR="00E13BFB" w:rsidRPr="00732138">
        <w:rPr>
          <w:szCs w:val="24"/>
          <w:lang w:val="hy-AM"/>
        </w:rPr>
        <w:t xml:space="preserve"> «</w:t>
      </w:r>
      <w:r w:rsidR="00E13BFB" w:rsidRPr="00732138">
        <w:rPr>
          <w:lang w:val="hy-AM"/>
        </w:rPr>
        <w:t>«Հանրային առողջապահության մասին» Հայաստանի Հանրապետության օրենքի կիրարկումն ապահովող միջոցառումների ցանկը հաստատելու մասին» թիվ 574-Ա</w:t>
      </w:r>
      <w:r w:rsidR="00E13BFB" w:rsidRPr="00732138">
        <w:rPr>
          <w:rFonts w:cstheme="minorBidi"/>
          <w:noProof/>
          <w:lang w:val="hy-AM"/>
        </w:rPr>
        <w:t xml:space="preserve"> որոշ</w:t>
      </w:r>
      <w:r w:rsidR="00E13BFB">
        <w:rPr>
          <w:rFonts w:cstheme="minorBidi"/>
          <w:noProof/>
          <w:lang w:val="hy-AM"/>
        </w:rPr>
        <w:t xml:space="preserve">ան հավելվածի </w:t>
      </w:r>
      <w:r w:rsidR="00541458">
        <w:rPr>
          <w:rFonts w:cstheme="minorBidi"/>
          <w:noProof/>
          <w:lang w:val="hy-AM"/>
        </w:rPr>
        <w:t>5</w:t>
      </w:r>
      <w:r w:rsidR="00E13BFB">
        <w:rPr>
          <w:rFonts w:cstheme="minorBidi"/>
          <w:noProof/>
          <w:lang w:val="hy-AM"/>
        </w:rPr>
        <w:t>-րդ կետից:</w:t>
      </w:r>
    </w:p>
    <w:p w14:paraId="609B7624" w14:textId="75CE0429" w:rsidR="00234A2C" w:rsidRPr="00875CDD" w:rsidRDefault="00E13BFB" w:rsidP="006C5F15">
      <w:pPr>
        <w:spacing w:after="0" w:line="360" w:lineRule="auto"/>
        <w:ind w:firstLine="851"/>
        <w:jc w:val="both"/>
        <w:rPr>
          <w:rFonts w:cstheme="minorBidi"/>
          <w:noProof/>
          <w:lang w:val="hy-AM"/>
        </w:rPr>
      </w:pPr>
      <w:r w:rsidRPr="00233626">
        <w:rPr>
          <w:szCs w:val="24"/>
          <w:lang w:val="hy-AM" w:eastAsia="ru-RU"/>
        </w:rPr>
        <w:t xml:space="preserve">Նախագծի ընդունմամբ </w:t>
      </w:r>
      <w:r w:rsidR="00541458">
        <w:rPr>
          <w:szCs w:val="24"/>
          <w:lang w:val="hy-AM" w:eastAsia="ru-RU"/>
        </w:rPr>
        <w:t xml:space="preserve">կապահովվի </w:t>
      </w:r>
      <w:r>
        <w:rPr>
          <w:szCs w:val="24"/>
          <w:lang w:val="hy-AM"/>
        </w:rPr>
        <w:t>«Հանրային առողջապահության մասին»</w:t>
      </w:r>
      <w:r w:rsidRPr="00155912">
        <w:rPr>
          <w:szCs w:val="24"/>
          <w:lang w:val="hy-AM"/>
        </w:rPr>
        <w:t xml:space="preserve"> </w:t>
      </w:r>
      <w:r w:rsidR="00541458" w:rsidRPr="00FB6B66">
        <w:rPr>
          <w:rStyle w:val="Strong"/>
          <w:b w:val="0"/>
          <w:szCs w:val="24"/>
          <w:shd w:val="clear" w:color="auto" w:fill="FFFFFF"/>
          <w:lang w:val="hy-AM"/>
        </w:rPr>
        <w:t>Հայաստանի Հանրապետության 2024 թվականի փետրվարի 28-ի ՀՕ-114-Ն օրենքի</w:t>
      </w:r>
      <w:r w:rsidR="00541458">
        <w:rPr>
          <w:szCs w:val="24"/>
          <w:lang w:val="hy-AM" w:eastAsia="ru-RU"/>
        </w:rPr>
        <w:t xml:space="preserve"> կիրարկումը</w:t>
      </w:r>
      <w:r>
        <w:rPr>
          <w:szCs w:val="24"/>
          <w:lang w:val="hy-AM" w:eastAsia="ru-RU"/>
        </w:rPr>
        <w:t>։</w:t>
      </w:r>
    </w:p>
    <w:sectPr w:rsidR="00234A2C" w:rsidRPr="00875CDD" w:rsidSect="00AB7C5E">
      <w:pgSz w:w="11906" w:h="16838" w:code="9"/>
      <w:pgMar w:top="851" w:right="1134" w:bottom="851" w:left="1418" w:header="0" w:footer="57"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D2BCC"/>
    <w:multiLevelType w:val="hybridMultilevel"/>
    <w:tmpl w:val="B3F68E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875426"/>
    <w:multiLevelType w:val="hybridMultilevel"/>
    <w:tmpl w:val="46103E08"/>
    <w:lvl w:ilvl="0" w:tplc="24B6DFFE">
      <w:start w:val="1"/>
      <w:numFmt w:val="decimal"/>
      <w:lvlText w:val="%1)"/>
      <w:lvlJc w:val="left"/>
      <w:pPr>
        <w:ind w:left="1080" w:hanging="360"/>
      </w:pPr>
      <w:rPr>
        <w:rFonts w:eastAsia="MS Mincho"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BD1855"/>
    <w:multiLevelType w:val="hybridMultilevel"/>
    <w:tmpl w:val="2FCE5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4A2C"/>
    <w:rsid w:val="00022AF4"/>
    <w:rsid w:val="000237BE"/>
    <w:rsid w:val="00044CAE"/>
    <w:rsid w:val="00077EF8"/>
    <w:rsid w:val="00083499"/>
    <w:rsid w:val="000A2A3A"/>
    <w:rsid w:val="000C0952"/>
    <w:rsid w:val="000C54EC"/>
    <w:rsid w:val="000D5A55"/>
    <w:rsid w:val="000F1BF1"/>
    <w:rsid w:val="000F3513"/>
    <w:rsid w:val="00126AF9"/>
    <w:rsid w:val="00131628"/>
    <w:rsid w:val="0013796F"/>
    <w:rsid w:val="00150394"/>
    <w:rsid w:val="00151C34"/>
    <w:rsid w:val="0015547E"/>
    <w:rsid w:val="001658C0"/>
    <w:rsid w:val="001819C7"/>
    <w:rsid w:val="001A15B5"/>
    <w:rsid w:val="001B6AF4"/>
    <w:rsid w:val="001D10D5"/>
    <w:rsid w:val="001F0AC1"/>
    <w:rsid w:val="0020385F"/>
    <w:rsid w:val="0020627E"/>
    <w:rsid w:val="00220693"/>
    <w:rsid w:val="00221806"/>
    <w:rsid w:val="00234A2C"/>
    <w:rsid w:val="00275D39"/>
    <w:rsid w:val="00281902"/>
    <w:rsid w:val="00287126"/>
    <w:rsid w:val="0029598F"/>
    <w:rsid w:val="002A3BFE"/>
    <w:rsid w:val="002B501E"/>
    <w:rsid w:val="002B6AF1"/>
    <w:rsid w:val="002E2768"/>
    <w:rsid w:val="002E60F2"/>
    <w:rsid w:val="0030196B"/>
    <w:rsid w:val="00304A34"/>
    <w:rsid w:val="00313D67"/>
    <w:rsid w:val="003A70BA"/>
    <w:rsid w:val="003C4483"/>
    <w:rsid w:val="003E6B34"/>
    <w:rsid w:val="004068D5"/>
    <w:rsid w:val="004741BD"/>
    <w:rsid w:val="00474CA0"/>
    <w:rsid w:val="00477C18"/>
    <w:rsid w:val="004B094D"/>
    <w:rsid w:val="004B6A65"/>
    <w:rsid w:val="004C5B26"/>
    <w:rsid w:val="004C78E3"/>
    <w:rsid w:val="00502D59"/>
    <w:rsid w:val="0051744B"/>
    <w:rsid w:val="0052411B"/>
    <w:rsid w:val="00541458"/>
    <w:rsid w:val="005675AA"/>
    <w:rsid w:val="0056778D"/>
    <w:rsid w:val="00570DBC"/>
    <w:rsid w:val="00593FF6"/>
    <w:rsid w:val="005B0B41"/>
    <w:rsid w:val="005E46D7"/>
    <w:rsid w:val="00612AF8"/>
    <w:rsid w:val="006541A7"/>
    <w:rsid w:val="00682F47"/>
    <w:rsid w:val="006A61C4"/>
    <w:rsid w:val="006C5F15"/>
    <w:rsid w:val="006C67B8"/>
    <w:rsid w:val="006D74FC"/>
    <w:rsid w:val="006F565A"/>
    <w:rsid w:val="00715D94"/>
    <w:rsid w:val="00730C4E"/>
    <w:rsid w:val="00732409"/>
    <w:rsid w:val="007A4056"/>
    <w:rsid w:val="007C045F"/>
    <w:rsid w:val="007D3495"/>
    <w:rsid w:val="007D66A7"/>
    <w:rsid w:val="007D7305"/>
    <w:rsid w:val="007E7DBB"/>
    <w:rsid w:val="00800EAF"/>
    <w:rsid w:val="00844109"/>
    <w:rsid w:val="0086433E"/>
    <w:rsid w:val="00867E64"/>
    <w:rsid w:val="0087486D"/>
    <w:rsid w:val="00875CDD"/>
    <w:rsid w:val="0087748C"/>
    <w:rsid w:val="008814BE"/>
    <w:rsid w:val="008B5E0B"/>
    <w:rsid w:val="008C6A9B"/>
    <w:rsid w:val="008D0A2D"/>
    <w:rsid w:val="008E0D0B"/>
    <w:rsid w:val="008E2488"/>
    <w:rsid w:val="00900763"/>
    <w:rsid w:val="00910215"/>
    <w:rsid w:val="00913D4C"/>
    <w:rsid w:val="0094591C"/>
    <w:rsid w:val="00947F42"/>
    <w:rsid w:val="00966D9A"/>
    <w:rsid w:val="009750F9"/>
    <w:rsid w:val="00985E6F"/>
    <w:rsid w:val="00997850"/>
    <w:rsid w:val="009B6C2D"/>
    <w:rsid w:val="009D5694"/>
    <w:rsid w:val="00A00D72"/>
    <w:rsid w:val="00A170B6"/>
    <w:rsid w:val="00A24CC7"/>
    <w:rsid w:val="00A35656"/>
    <w:rsid w:val="00A41D58"/>
    <w:rsid w:val="00A552AA"/>
    <w:rsid w:val="00A57FF6"/>
    <w:rsid w:val="00A65EA4"/>
    <w:rsid w:val="00A700F7"/>
    <w:rsid w:val="00A77F08"/>
    <w:rsid w:val="00A95581"/>
    <w:rsid w:val="00AA4ABD"/>
    <w:rsid w:val="00AB5561"/>
    <w:rsid w:val="00AB7C5E"/>
    <w:rsid w:val="00AC2490"/>
    <w:rsid w:val="00AC514E"/>
    <w:rsid w:val="00AD0040"/>
    <w:rsid w:val="00AE51E6"/>
    <w:rsid w:val="00B30418"/>
    <w:rsid w:val="00B32050"/>
    <w:rsid w:val="00B617EC"/>
    <w:rsid w:val="00B81FB0"/>
    <w:rsid w:val="00BB23D1"/>
    <w:rsid w:val="00BB59BF"/>
    <w:rsid w:val="00BD07B1"/>
    <w:rsid w:val="00BE3EC7"/>
    <w:rsid w:val="00BF1597"/>
    <w:rsid w:val="00C108E0"/>
    <w:rsid w:val="00C421BD"/>
    <w:rsid w:val="00C54B9B"/>
    <w:rsid w:val="00C87B14"/>
    <w:rsid w:val="00C87D69"/>
    <w:rsid w:val="00CE341C"/>
    <w:rsid w:val="00CF09B3"/>
    <w:rsid w:val="00D05AA0"/>
    <w:rsid w:val="00D426DC"/>
    <w:rsid w:val="00D5406F"/>
    <w:rsid w:val="00D90C39"/>
    <w:rsid w:val="00D95857"/>
    <w:rsid w:val="00DA7397"/>
    <w:rsid w:val="00DC60D8"/>
    <w:rsid w:val="00DD5FC2"/>
    <w:rsid w:val="00DD7998"/>
    <w:rsid w:val="00DF2592"/>
    <w:rsid w:val="00DF3924"/>
    <w:rsid w:val="00E13BFB"/>
    <w:rsid w:val="00E314C7"/>
    <w:rsid w:val="00E7592A"/>
    <w:rsid w:val="00E87CF3"/>
    <w:rsid w:val="00EA06C2"/>
    <w:rsid w:val="00EA1A95"/>
    <w:rsid w:val="00EA4EAF"/>
    <w:rsid w:val="00EB7E1F"/>
    <w:rsid w:val="00F15AFB"/>
    <w:rsid w:val="00F275EB"/>
    <w:rsid w:val="00F55AD8"/>
    <w:rsid w:val="00F60602"/>
    <w:rsid w:val="00F624E9"/>
    <w:rsid w:val="00F64887"/>
    <w:rsid w:val="00F72BE0"/>
    <w:rsid w:val="00FB6B66"/>
    <w:rsid w:val="00FD7802"/>
    <w:rsid w:val="00FE5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0314A"/>
  <w15:docId w15:val="{DF4342F1-F1B1-4230-BD74-C76A771D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2C"/>
    <w:rPr>
      <w:rFonts w:ascii="GHEA Grapalat" w:hAnsi="GHEA Grapalat" w:cs="Sylfae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34A2C"/>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Char Char Char1,Обычный (веб)"/>
    <w:basedOn w:val="Normal"/>
    <w:link w:val="NormalWebChar"/>
    <w:uiPriority w:val="99"/>
    <w:unhideWhenUsed/>
    <w:qFormat/>
    <w:rsid w:val="00234A2C"/>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234A2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qFormat/>
    <w:rsid w:val="00234A2C"/>
    <w:rPr>
      <w:rFonts w:ascii="GHEA Grapalat" w:hAnsi="GHEA Grapalat" w:cs="Sylfaen"/>
      <w:color w:val="000000"/>
      <w:sz w:val="24"/>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234A2C"/>
    <w:rPr>
      <w:rFonts w:ascii="Times New Roman" w:eastAsia="Times New Roman" w:hAnsi="Times New Roman" w:cs="Times New Roman"/>
      <w:sz w:val="24"/>
      <w:szCs w:val="24"/>
    </w:rPr>
  </w:style>
  <w:style w:type="paragraph" w:styleId="BodyTextIndent3">
    <w:name w:val="Body Text Indent 3"/>
    <w:basedOn w:val="Normal"/>
    <w:link w:val="BodyTextIndent3Char"/>
    <w:unhideWhenUsed/>
    <w:rsid w:val="0051744B"/>
    <w:pPr>
      <w:spacing w:after="120" w:line="240" w:lineRule="auto"/>
      <w:ind w:left="283"/>
    </w:pPr>
    <w:rPr>
      <w:rFonts w:ascii="Arial Unicode" w:eastAsia="Times New Roman" w:hAnsi="Arial Unicode" w:cs="Times New Roman"/>
      <w:color w:val="auto"/>
      <w:sz w:val="16"/>
      <w:szCs w:val="16"/>
    </w:rPr>
  </w:style>
  <w:style w:type="character" w:customStyle="1" w:styleId="BodyTextIndent3Char">
    <w:name w:val="Body Text Indent 3 Char"/>
    <w:basedOn w:val="DefaultParagraphFont"/>
    <w:link w:val="BodyTextIndent3"/>
    <w:rsid w:val="0051744B"/>
    <w:rPr>
      <w:rFonts w:ascii="Arial Unicode" w:eastAsia="Times New Roman" w:hAnsi="Arial Unicode" w:cs="Times New Roman"/>
      <w:sz w:val="16"/>
      <w:szCs w:val="16"/>
    </w:rPr>
  </w:style>
  <w:style w:type="paragraph" w:styleId="BodyText">
    <w:name w:val="Body Text"/>
    <w:basedOn w:val="Normal"/>
    <w:link w:val="BodyTextChar"/>
    <w:unhideWhenUsed/>
    <w:rsid w:val="0051744B"/>
    <w:pPr>
      <w:spacing w:after="120" w:line="240" w:lineRule="auto"/>
    </w:pPr>
    <w:rPr>
      <w:rFonts w:ascii="Arial Unicode" w:eastAsia="Times New Roman" w:hAnsi="Arial Unicode" w:cs="Times New Roman"/>
      <w:color w:val="auto"/>
    </w:rPr>
  </w:style>
  <w:style w:type="character" w:customStyle="1" w:styleId="BodyTextChar">
    <w:name w:val="Body Text Char"/>
    <w:basedOn w:val="DefaultParagraphFont"/>
    <w:link w:val="BodyText"/>
    <w:rsid w:val="0051744B"/>
    <w:rPr>
      <w:rFonts w:ascii="Arial Unicode" w:eastAsia="Times New Roman" w:hAnsi="Arial Unicode" w:cs="Times New Roman"/>
      <w:sz w:val="24"/>
      <w:szCs w:val="20"/>
    </w:rPr>
  </w:style>
  <w:style w:type="paragraph" w:styleId="BalloonText">
    <w:name w:val="Balloon Text"/>
    <w:basedOn w:val="Normal"/>
    <w:link w:val="BalloonTextChar"/>
    <w:uiPriority w:val="99"/>
    <w:semiHidden/>
    <w:unhideWhenUsed/>
    <w:rsid w:val="00BF1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597"/>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220693"/>
    <w:rPr>
      <w:sz w:val="16"/>
      <w:szCs w:val="16"/>
    </w:rPr>
  </w:style>
  <w:style w:type="paragraph" w:styleId="CommentText">
    <w:name w:val="annotation text"/>
    <w:basedOn w:val="Normal"/>
    <w:link w:val="CommentTextChar"/>
    <w:uiPriority w:val="99"/>
    <w:unhideWhenUsed/>
    <w:rsid w:val="00220693"/>
    <w:pPr>
      <w:spacing w:line="240" w:lineRule="auto"/>
    </w:pPr>
    <w:rPr>
      <w:rFonts w:asciiTheme="minorHAnsi" w:hAnsiTheme="minorHAnsi" w:cstheme="minorBidi"/>
      <w:color w:val="auto"/>
      <w:sz w:val="20"/>
    </w:rPr>
  </w:style>
  <w:style w:type="character" w:customStyle="1" w:styleId="CommentTextChar">
    <w:name w:val="Comment Text Char"/>
    <w:basedOn w:val="DefaultParagraphFont"/>
    <w:link w:val="CommentText"/>
    <w:uiPriority w:val="99"/>
    <w:rsid w:val="00220693"/>
    <w:rPr>
      <w:sz w:val="20"/>
      <w:szCs w:val="20"/>
    </w:rPr>
  </w:style>
  <w:style w:type="paragraph" w:styleId="CommentSubject">
    <w:name w:val="annotation subject"/>
    <w:basedOn w:val="CommentText"/>
    <w:next w:val="CommentText"/>
    <w:link w:val="CommentSubjectChar"/>
    <w:uiPriority w:val="99"/>
    <w:semiHidden/>
    <w:unhideWhenUsed/>
    <w:rsid w:val="00D95857"/>
    <w:rPr>
      <w:rFonts w:ascii="GHEA Grapalat" w:hAnsi="GHEA Grapalat" w:cs="Sylfaen"/>
      <w:b/>
      <w:bCs/>
      <w:color w:val="000000"/>
    </w:rPr>
  </w:style>
  <w:style w:type="character" w:customStyle="1" w:styleId="CommentSubjectChar">
    <w:name w:val="Comment Subject Char"/>
    <w:basedOn w:val="CommentTextChar"/>
    <w:link w:val="CommentSubject"/>
    <w:uiPriority w:val="99"/>
    <w:semiHidden/>
    <w:rsid w:val="00D95857"/>
    <w:rPr>
      <w:rFonts w:ascii="GHEA Grapalat" w:hAnsi="GHEA Grapalat" w:cs="Sylfae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972614">
      <w:bodyDiv w:val="1"/>
      <w:marLeft w:val="0"/>
      <w:marRight w:val="0"/>
      <w:marTop w:val="0"/>
      <w:marBottom w:val="0"/>
      <w:divBdr>
        <w:top w:val="none" w:sz="0" w:space="0" w:color="auto"/>
        <w:left w:val="none" w:sz="0" w:space="0" w:color="auto"/>
        <w:bottom w:val="none" w:sz="0" w:space="0" w:color="auto"/>
        <w:right w:val="none" w:sz="0" w:space="0" w:color="auto"/>
      </w:divBdr>
    </w:div>
    <w:div w:id="16719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1892</TotalTime>
  <Pages>3</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Barseghyan</dc:creator>
  <cp:keywords>https://mul2.gov.am/tasks/976956/oneclick/himnavorum.docx?token=eb3733173b29e32777a978c3e24cd7d8</cp:keywords>
  <cp:lastModifiedBy>Araqsya Hambardzumyan</cp:lastModifiedBy>
  <cp:revision>103</cp:revision>
  <dcterms:created xsi:type="dcterms:W3CDTF">2024-04-23T06:43:00Z</dcterms:created>
  <dcterms:modified xsi:type="dcterms:W3CDTF">2025-08-04T08:49:00Z</dcterms:modified>
</cp:coreProperties>
</file>