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CBCB" w14:textId="77777777" w:rsidR="00193BF1" w:rsidRPr="00E412E3" w:rsidRDefault="00193BF1" w:rsidP="00E412E3">
      <w:pPr>
        <w:pStyle w:val="NormalWeb"/>
        <w:shd w:val="clear" w:color="auto" w:fill="FFFFFF"/>
        <w:spacing w:before="0" w:beforeAutospacing="0" w:after="0" w:afterAutospacing="0" w:line="360" w:lineRule="atLeast"/>
        <w:ind w:left="-360" w:right="-540" w:firstLine="540"/>
        <w:jc w:val="center"/>
        <w:rPr>
          <w:rFonts w:ascii="GHEA Grapalat" w:hAnsi="GHEA Grapalat"/>
          <w:b/>
          <w:bCs/>
          <w:color w:val="000000"/>
        </w:rPr>
      </w:pPr>
      <w:r w:rsidRPr="00E412E3">
        <w:rPr>
          <w:rFonts w:ascii="GHEA Grapalat" w:hAnsi="GHEA Grapalat"/>
          <w:b/>
          <w:bCs/>
          <w:color w:val="000000"/>
        </w:rPr>
        <w:t>ՀԻՄՆԱՎՈՐՈՒՄ</w:t>
      </w:r>
    </w:p>
    <w:p w14:paraId="443FDC4E" w14:textId="77777777" w:rsidR="0005089D" w:rsidRPr="00E412E3" w:rsidRDefault="0005089D" w:rsidP="00E412E3">
      <w:pPr>
        <w:spacing w:before="120" w:after="120" w:line="36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412E3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2011 ԹՎԱԿԱՆԻ ՀՈԿՏԵՄԲԵՐԻ 27-Ի N 1550-Ն ՈՐՈՇՄԱՆ ՄԵՋ ՓՈՓՈԽՈՒԹՅՈՒՆՆԵՐ ԿԱՏԱՐԵԼՈՒ ՄԱՍԻՆ</w:t>
      </w:r>
    </w:p>
    <w:p w14:paraId="489F0DA7" w14:textId="78178090" w:rsidR="00193BF1" w:rsidRPr="00E412E3" w:rsidRDefault="002C4DF0" w:rsidP="00E412E3">
      <w:pPr>
        <w:pStyle w:val="NormalWeb"/>
        <w:shd w:val="clear" w:color="auto" w:fill="FFFFFF"/>
        <w:spacing w:before="0" w:beforeAutospacing="0" w:after="0" w:afterAutospacing="0" w:line="360" w:lineRule="atLeast"/>
        <w:ind w:right="4"/>
        <w:jc w:val="center"/>
        <w:rPr>
          <w:rFonts w:ascii="GHEA Grapalat" w:hAnsi="GHEA Grapalat"/>
          <w:b/>
          <w:bCs/>
          <w:color w:val="000000"/>
        </w:rPr>
      </w:pPr>
      <w:r w:rsidRPr="00E412E3">
        <w:rPr>
          <w:rFonts w:ascii="GHEA Grapalat" w:hAnsi="GHEA Grapalat"/>
          <w:b/>
          <w:bCs/>
          <w:color w:val="000000"/>
        </w:rPr>
        <w:t>ՆԱԽԱԳԾ</w:t>
      </w:r>
      <w:r w:rsidR="0005089D" w:rsidRPr="00E412E3">
        <w:rPr>
          <w:rFonts w:ascii="GHEA Grapalat" w:hAnsi="GHEA Grapalat"/>
          <w:b/>
          <w:bCs/>
          <w:color w:val="000000"/>
        </w:rPr>
        <w:t xml:space="preserve">Ի </w:t>
      </w:r>
      <w:r w:rsidR="00193BF1" w:rsidRPr="00E412E3">
        <w:rPr>
          <w:rFonts w:ascii="GHEA Grapalat" w:hAnsi="GHEA Grapalat"/>
          <w:b/>
          <w:bCs/>
          <w:color w:val="000000"/>
        </w:rPr>
        <w:t>ԸՆԴՈՒՆՄԱՆ</w:t>
      </w:r>
    </w:p>
    <w:p w14:paraId="7B5EB422" w14:textId="77777777" w:rsidR="007F70B4" w:rsidRPr="000671A3" w:rsidRDefault="007F70B4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center"/>
        <w:rPr>
          <w:rFonts w:ascii="GHEA Grapalat" w:hAnsi="GHEA Grapalat"/>
          <w:color w:val="000000"/>
        </w:rPr>
      </w:pPr>
    </w:p>
    <w:p w14:paraId="39DB9C09" w14:textId="063B564E" w:rsidR="00193BF1" w:rsidRPr="000671A3" w:rsidRDefault="00193BF1" w:rsidP="000671A3">
      <w:pPr>
        <w:pStyle w:val="NormalWeb"/>
        <w:numPr>
          <w:ilvl w:val="0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b/>
          <w:bCs/>
          <w:color w:val="000000"/>
        </w:rPr>
      </w:pPr>
      <w:proofErr w:type="spellStart"/>
      <w:r w:rsidRPr="000671A3">
        <w:rPr>
          <w:rFonts w:ascii="GHEA Grapalat" w:hAnsi="GHEA Grapalat"/>
          <w:b/>
          <w:bCs/>
          <w:color w:val="000000"/>
        </w:rPr>
        <w:t>Իրավական</w:t>
      </w:r>
      <w:proofErr w:type="spellEnd"/>
      <w:r w:rsidRPr="000671A3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0671A3">
        <w:rPr>
          <w:rFonts w:ascii="GHEA Grapalat" w:hAnsi="GHEA Grapalat"/>
          <w:b/>
          <w:bCs/>
          <w:color w:val="000000"/>
        </w:rPr>
        <w:t>ակտի</w:t>
      </w:r>
      <w:proofErr w:type="spellEnd"/>
      <w:r w:rsidRPr="000671A3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0671A3">
        <w:rPr>
          <w:rFonts w:ascii="GHEA Grapalat" w:hAnsi="GHEA Grapalat"/>
          <w:b/>
          <w:bCs/>
          <w:color w:val="000000"/>
        </w:rPr>
        <w:t>ընդունման</w:t>
      </w:r>
      <w:proofErr w:type="spellEnd"/>
      <w:r w:rsidRPr="000671A3">
        <w:rPr>
          <w:rFonts w:ascii="GHEA Grapalat" w:hAnsi="GHEA Grapalat"/>
          <w:b/>
          <w:bCs/>
          <w:color w:val="000000"/>
        </w:rPr>
        <w:t xml:space="preserve"> </w:t>
      </w:r>
      <w:proofErr w:type="spellStart"/>
      <w:r w:rsidRPr="000671A3">
        <w:rPr>
          <w:rFonts w:ascii="GHEA Grapalat" w:hAnsi="GHEA Grapalat"/>
          <w:b/>
          <w:bCs/>
          <w:color w:val="000000"/>
        </w:rPr>
        <w:t>անհրաժեշտությունը</w:t>
      </w:r>
      <w:proofErr w:type="spellEnd"/>
    </w:p>
    <w:p w14:paraId="532859BC" w14:textId="77777777" w:rsidR="00E412E3" w:rsidRPr="000671A3" w:rsidRDefault="00E412E3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b/>
          <w:bCs/>
          <w:color w:val="000000"/>
        </w:rPr>
      </w:pPr>
    </w:p>
    <w:p w14:paraId="32890F83" w14:textId="651A1095" w:rsidR="00B344F9" w:rsidRPr="000671A3" w:rsidRDefault="007C7F41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</w:pP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2024 թ</w:t>
      </w:r>
      <w:r w:rsidRPr="000671A3">
        <w:rPr>
          <w:rFonts w:ascii="Cambria Math" w:eastAsia="Microsoft JhengHei" w:hAnsi="Cambria Math" w:cs="Cambria Math"/>
          <w:color w:val="191919"/>
          <w:sz w:val="24"/>
          <w:szCs w:val="24"/>
          <w:shd w:val="clear" w:color="auto" w:fill="FFFFFF"/>
        </w:rPr>
        <w:t>․</w:t>
      </w:r>
      <w:r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>մայիս</w:t>
      </w:r>
      <w:proofErr w:type="spellEnd"/>
      <w:r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 xml:space="preserve"> </w:t>
      </w:r>
      <w:r w:rsidR="00734978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>2</w:t>
      </w:r>
      <w:r w:rsidR="007750FD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 xml:space="preserve">2-ին </w:t>
      </w:r>
      <w:proofErr w:type="spellStart"/>
      <w:r w:rsidR="007750FD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>Ազգային</w:t>
      </w:r>
      <w:proofErr w:type="spellEnd"/>
      <w:r w:rsidR="007750FD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>ժողովի</w:t>
      </w:r>
      <w:proofErr w:type="spellEnd"/>
      <w:r w:rsidR="007750FD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կողմից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ընդունվել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«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մասին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»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Հայաստանի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Հանրապետության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նոր</w:t>
      </w:r>
      <w:proofErr w:type="spellEnd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7750F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օրենքը</w:t>
      </w:r>
      <w:proofErr w:type="spellEnd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իսկ</w:t>
      </w:r>
      <w:proofErr w:type="spellEnd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մինչ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այդ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2015 և 2023 </w:t>
      </w:r>
      <w:proofErr w:type="spellStart"/>
      <w:proofErr w:type="gram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թվականներին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«</w:t>
      </w:r>
      <w:proofErr w:type="spellStart"/>
      <w:proofErr w:type="gramEnd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մասին</w:t>
      </w:r>
      <w:proofErr w:type="spellEnd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» </w:t>
      </w:r>
      <w:proofErr w:type="spellStart"/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</w:t>
      </w:r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3-րդ, 6-րդ, 26-րդ</w:t>
      </w:r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,</w:t>
      </w:r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26.1-րդ</w:t>
      </w:r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, 36-րդ և 37-րդ</w:t>
      </w:r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հոդվածներում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կատարվել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B041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224C4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լրացում</w:t>
      </w:r>
      <w:r w:rsidR="009207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փոփոխություններ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ինչով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սահմանվել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է</w:t>
      </w:r>
      <w:r w:rsidR="00224C4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պետության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կողմից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ֆորմալ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ոչ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ֆորմալ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ինֆորմալ</w:t>
      </w:r>
      <w:proofErr w:type="spellEnd"/>
      <w:r w:rsidR="00B339C5" w:rsidRPr="000671A3">
        <w:rPr>
          <w:rFonts w:ascii="Calibri" w:hAnsi="Calibri" w:cs="Calibri"/>
          <w:color w:val="191919"/>
          <w:sz w:val="24"/>
          <w:szCs w:val="24"/>
          <w:shd w:val="clear" w:color="auto" w:fill="FFFFFF"/>
        </w:rPr>
        <w:t> 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B339C5" w:rsidRPr="000671A3">
        <w:rPr>
          <w:rFonts w:ascii="Calibri" w:hAnsi="Calibri" w:cs="Calibri"/>
          <w:color w:val="191919"/>
          <w:sz w:val="24"/>
          <w:szCs w:val="24"/>
          <w:shd w:val="clear" w:color="auto" w:fill="FFFFFF"/>
        </w:rPr>
        <w:t> 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համակարգը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համաչափ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գործարկելու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արդյունքներ</w:t>
      </w:r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</w:t>
      </w:r>
      <w:proofErr w:type="spellEnd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ճանաչ</w:t>
      </w:r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ելու</w:t>
      </w:r>
      <w:proofErr w:type="spellEnd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երաշխիք</w:t>
      </w:r>
      <w:r w:rsidR="00B339C5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</w:t>
      </w:r>
      <w:proofErr w:type="spellEnd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։ </w:t>
      </w:r>
      <w:proofErr w:type="spellStart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Նշված</w:t>
      </w:r>
      <w:proofErr w:type="spellEnd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օրենսդրական</w:t>
      </w:r>
      <w:proofErr w:type="spellEnd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քաղաքականությ</w:t>
      </w:r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ապահովման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մեխանիզմները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ամրագրվել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B041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նաև</w:t>
      </w:r>
      <w:proofErr w:type="spellEnd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«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Հայաստանի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Հանրապետության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մինչև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2030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թվականի</w:t>
      </w:r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զարգացման</w:t>
      </w:r>
      <w:proofErr w:type="spellEnd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պետական</w:t>
      </w:r>
      <w:proofErr w:type="spellEnd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C4149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ծրա</w:t>
      </w:r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գիր</w:t>
      </w:r>
      <w:proofErr w:type="spellEnd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» </w:t>
      </w:r>
      <w:proofErr w:type="spellStart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օրենքում</w:t>
      </w:r>
      <w:proofErr w:type="spellEnd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։ </w:t>
      </w:r>
      <w:proofErr w:type="spellStart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Թվարկված</w:t>
      </w:r>
      <w:proofErr w:type="spellEnd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օրենքներ</w:t>
      </w:r>
      <w:r w:rsidR="005B041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</w:t>
      </w:r>
      <w:proofErr w:type="spellEnd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արմատական</w:t>
      </w:r>
      <w:proofErr w:type="spellEnd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փոփոխություններ</w:t>
      </w:r>
      <w:proofErr w:type="spellEnd"/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098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="00D62C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նախատես</w:t>
      </w:r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ում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(</w:t>
      </w:r>
      <w:proofErr w:type="spellStart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այսուհետ</w:t>
      </w:r>
      <w:proofErr w:type="spellEnd"/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՝ ՄԿՈ</w:t>
      </w:r>
      <w:r w:rsidR="005B041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Ւ</w:t>
      </w:r>
      <w:r w:rsidR="00246AA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)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ոլորտում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ներդնելով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շուկայի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կարիքներին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համապատասխանող</w:t>
      </w:r>
      <w:proofErr w:type="spellEnd"/>
      <w:r w:rsidR="00DE7837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</w:t>
      </w:r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</w:t>
      </w:r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կյալ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կրթություն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ապահ</w:t>
      </w:r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</w:t>
      </w:r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</w:t>
      </w:r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</w:t>
      </w:r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լու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իրավական</w:t>
      </w:r>
      <w:proofErr w:type="spellEnd"/>
      <w:r w:rsidR="00F5352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հիմքերը</w:t>
      </w:r>
      <w:proofErr w:type="spellEnd"/>
      <w:r w:rsidR="003A03A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։ </w:t>
      </w:r>
      <w:r w:rsidR="007C3815" w:rsidRPr="000671A3">
        <w:rPr>
          <w:rFonts w:ascii="GHEA Grapalat" w:hAnsi="GHEA Grapalat" w:cs="Arial"/>
          <w:sz w:val="24"/>
          <w:szCs w:val="24"/>
          <w:lang w:val="hy-AM"/>
        </w:rPr>
        <w:t>Օրենք</w:t>
      </w:r>
      <w:proofErr w:type="spellStart"/>
      <w:r w:rsidR="001F098E" w:rsidRPr="000671A3">
        <w:rPr>
          <w:rFonts w:ascii="GHEA Grapalat" w:hAnsi="GHEA Grapalat" w:cs="Arial"/>
          <w:sz w:val="24"/>
          <w:szCs w:val="24"/>
        </w:rPr>
        <w:t>ներ</w:t>
      </w:r>
      <w:proofErr w:type="spellEnd"/>
      <w:r w:rsidR="007C3815" w:rsidRPr="000671A3">
        <w:rPr>
          <w:rFonts w:ascii="GHEA Grapalat" w:hAnsi="GHEA Grapalat" w:cs="Arial"/>
          <w:sz w:val="24"/>
          <w:szCs w:val="24"/>
          <w:lang w:val="hy-AM"/>
        </w:rPr>
        <w:t>ը</w:t>
      </w:r>
      <w:r w:rsidR="00487AAF" w:rsidRPr="000671A3">
        <w:rPr>
          <w:rFonts w:ascii="GHEA Grapalat" w:hAnsi="GHEA Grapalat" w:cs="Arial"/>
          <w:sz w:val="24"/>
          <w:szCs w:val="24"/>
          <w:lang w:val="hy-AM"/>
        </w:rPr>
        <w:t xml:space="preserve">, </w:t>
      </w:r>
      <w:proofErr w:type="spellStart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ժամանակակից</w:t>
      </w:r>
      <w:proofErr w:type="spellEnd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միջազգային</w:t>
      </w:r>
      <w:proofErr w:type="spellEnd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միտումներին</w:t>
      </w:r>
      <w:proofErr w:type="spellEnd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մոտեցումներին</w:t>
      </w:r>
      <w:proofErr w:type="spellEnd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համահունչ</w:t>
      </w:r>
      <w:proofErr w:type="spellEnd"/>
      <w:r w:rsidR="00487AA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ՄԿՈՒ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ոլորտում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պետական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քաղաքականության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հարցում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նախատեսում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շարք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արմատական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նորարարություններ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այդ</w:t>
      </w:r>
      <w:proofErr w:type="spellEnd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F6B5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թվում</w:t>
      </w:r>
      <w:proofErr w:type="spellEnd"/>
      <w:r w:rsidR="001F6B59" w:rsidRPr="000671A3">
        <w:rPr>
          <w:rFonts w:ascii="Cambria Math" w:eastAsia="Microsoft JhengHei" w:hAnsi="Cambria Math" w:cs="Cambria Math"/>
          <w:color w:val="191919"/>
          <w:sz w:val="24"/>
          <w:szCs w:val="24"/>
          <w:shd w:val="clear" w:color="auto" w:fill="FFFFFF"/>
        </w:rPr>
        <w:t>․</w:t>
      </w:r>
      <w:r w:rsidR="001F6B59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</w:rPr>
        <w:t xml:space="preserve"> </w:t>
      </w:r>
    </w:p>
    <w:p w14:paraId="4ACECA84" w14:textId="2E1F21D4" w:rsidR="00B344F9" w:rsidRPr="000671A3" w:rsidRDefault="001F6B59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Աշխատանքի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վրա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հիմնված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(ԱՀՈՒ)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համապարփակ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կարգավորում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գործատուների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ներգրավվածության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խթանում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շրջանավարտների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զբաղվածությունը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արդյունքների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իրացումը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բարձրացնելու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նպատակով</w:t>
      </w:r>
      <w:proofErr w:type="spellEnd"/>
      <w:r w:rsidR="00B344F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7A3C0716" w14:textId="1A021F6D" w:rsidR="00B344F9" w:rsidRPr="000671A3" w:rsidRDefault="00B344F9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Սոցիալական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գործընկերության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նոր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մոդելի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ներդրում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արդյունքների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համատեղ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պատասխանատվության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հիմքով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մասնավոր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հատվածի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գործառույթների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հստակեցում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ներգրավվածության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ինստիտուցիոնալացում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6BE8CEBA" w14:textId="41C674E0" w:rsidR="00B344F9" w:rsidRPr="000671A3" w:rsidRDefault="00B344F9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lastRenderedPageBreak/>
        <w:t>Որակավորումների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ազգային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ոլորտային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շրջանակների</w:t>
      </w:r>
      <w:proofErr w:type="spellEnd"/>
      <w:r w:rsidR="001333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1333F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վերանայում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ինչպես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նաև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կրեդիտային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ներդրում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ուսանողների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շարժունության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շարունակական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արդյունքների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փոխճանաչման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համար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5D4F9999" w14:textId="01645879" w:rsidR="00B344F9" w:rsidRPr="000671A3" w:rsidRDefault="00B344F9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ՄԿՈՒ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հաստատությունների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կառավարման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բարեփոխում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թափանցիկ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ընտրության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հաշվետվողականության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կառավարման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խորհուրդների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ներկայացուցչականության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արդյունավետության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բարձրացման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ուղղություններով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51C46F4D" w14:textId="49685A03" w:rsidR="00B344F9" w:rsidRPr="000671A3" w:rsidRDefault="00B344F9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ծրագրերի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կառուցվածքային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մեթոդաբանական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վերանայում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առկա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հեռավար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դրսեկ</w:t>
      </w:r>
      <w:r w:rsidR="0099587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ության</w:t>
      </w:r>
      <w:proofErr w:type="spellEnd"/>
      <w:r w:rsidR="0099587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99587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ձևով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համադրելի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կազմակերպմամբ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ռեսուրսների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նախահաշվային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պլանավորմամբ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10F16276" w14:textId="2E4D0A9B" w:rsidR="009B2919" w:rsidRPr="000671A3" w:rsidRDefault="009B2919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Մանկավարժական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վարչական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աշխատողների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ընտրության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վերապատրաստման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ատեստավորման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տարակարգերի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խրախուսման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բարելավում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շարունակական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զարգացման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99587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տեսլականով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1DB4D4DF" w14:textId="00DE92E1" w:rsidR="00273376" w:rsidRPr="000671A3" w:rsidRDefault="00273376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Ներառականության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ապահովում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առանձնահատուկ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պայմանների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հիմքով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անհատական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ծրագրերի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ներդրմամբ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պետական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ֆինանսավորմամբ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75B5628E" w14:textId="523C6A85" w:rsidR="001F098E" w:rsidRPr="000671A3" w:rsidRDefault="001F098E" w:rsidP="000671A3">
      <w:pPr>
        <w:pStyle w:val="ListParagraph"/>
        <w:numPr>
          <w:ilvl w:val="0"/>
          <w:numId w:val="23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Ոչ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ֆորմալ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ինֆորմալ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ուսումնառության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արդյունքների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գնահատման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ճանաչման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լրացուցիչ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ծրագրերի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երաշխավորման</w:t>
      </w:r>
      <w:proofErr w:type="spellEnd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մոնիթորինգի</w:t>
      </w:r>
      <w:proofErr w:type="spellEnd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վկայագրման</w:t>
      </w:r>
      <w:proofErr w:type="spellEnd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համակարգերի</w:t>
      </w:r>
      <w:proofErr w:type="spellEnd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ներդրում</w:t>
      </w:r>
      <w:proofErr w:type="spellEnd"/>
      <w:r w:rsidR="004465D6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։ </w:t>
      </w: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 </w:t>
      </w:r>
    </w:p>
    <w:p w14:paraId="5B07574D" w14:textId="5D931222" w:rsidR="00334D93" w:rsidRPr="000671A3" w:rsidRDefault="003158C7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lang w:val="hy-AM"/>
        </w:rPr>
      </w:pPr>
      <w:r w:rsidRPr="000671A3">
        <w:rPr>
          <w:rFonts w:ascii="GHEA Grapalat" w:hAnsi="GHEA Grapalat" w:cs="Arial"/>
          <w:lang w:val="hy-AM"/>
        </w:rPr>
        <w:t>Օրենք</w:t>
      </w:r>
      <w:proofErr w:type="spellStart"/>
      <w:r w:rsidR="004465D6" w:rsidRPr="000671A3">
        <w:rPr>
          <w:rFonts w:ascii="GHEA Grapalat" w:hAnsi="GHEA Grapalat" w:cs="Arial"/>
        </w:rPr>
        <w:t>ներ</w:t>
      </w:r>
      <w:proofErr w:type="spellEnd"/>
      <w:r w:rsidRPr="000671A3">
        <w:rPr>
          <w:rFonts w:ascii="GHEA Grapalat" w:hAnsi="GHEA Grapalat" w:cs="Arial"/>
          <w:lang w:val="hy-AM"/>
        </w:rPr>
        <w:t xml:space="preserve">ով նախատեսվող </w:t>
      </w:r>
      <w:r w:rsidR="0099587F" w:rsidRPr="000671A3">
        <w:rPr>
          <w:rFonts w:ascii="GHEA Grapalat" w:hAnsi="GHEA Grapalat" w:cs="Arial"/>
          <w:lang w:val="hy-AM"/>
        </w:rPr>
        <w:t xml:space="preserve">մասնագիտական </w:t>
      </w:r>
      <w:r w:rsidRPr="000671A3">
        <w:rPr>
          <w:rFonts w:ascii="GHEA Grapalat" w:hAnsi="GHEA Grapalat" w:cs="Arial"/>
          <w:lang w:val="hy-AM"/>
        </w:rPr>
        <w:t xml:space="preserve">կրթության </w:t>
      </w:r>
      <w:r w:rsidR="00F31955" w:rsidRPr="000671A3">
        <w:rPr>
          <w:rFonts w:ascii="GHEA Grapalat" w:hAnsi="GHEA Grapalat" w:cs="Arial"/>
          <w:lang w:val="hy-AM"/>
        </w:rPr>
        <w:t>կազմակերպման</w:t>
      </w:r>
      <w:r w:rsidRPr="000671A3">
        <w:rPr>
          <w:rFonts w:ascii="GHEA Grapalat" w:hAnsi="GHEA Grapalat" w:cs="Arial"/>
          <w:lang w:val="hy-AM"/>
        </w:rPr>
        <w:t xml:space="preserve"> նոր հայեցակարգը և</w:t>
      </w:r>
      <w:r w:rsidR="00F31955" w:rsidRPr="000671A3">
        <w:rPr>
          <w:rFonts w:ascii="GHEA Grapalat" w:hAnsi="GHEA Grapalat" w:cs="Arial"/>
          <w:lang w:val="hy-AM"/>
        </w:rPr>
        <w:t xml:space="preserve"> </w:t>
      </w:r>
      <w:r w:rsidR="00E412E3" w:rsidRPr="000671A3">
        <w:rPr>
          <w:rFonts w:ascii="GHEA Grapalat" w:hAnsi="GHEA Grapalat" w:cs="Arial"/>
          <w:lang w:val="hy-AM"/>
        </w:rPr>
        <w:t>գործընթացի</w:t>
      </w:r>
      <w:r w:rsidR="00F31955" w:rsidRPr="000671A3">
        <w:rPr>
          <w:rFonts w:ascii="GHEA Grapalat" w:hAnsi="GHEA Grapalat" w:cs="Arial"/>
          <w:lang w:val="hy-AM"/>
        </w:rPr>
        <w:t xml:space="preserve"> </w:t>
      </w:r>
      <w:r w:rsidR="00E412E3" w:rsidRPr="000671A3">
        <w:rPr>
          <w:rFonts w:ascii="GHEA Grapalat" w:hAnsi="GHEA Grapalat" w:cs="Arial"/>
          <w:lang w:val="hy-AM"/>
        </w:rPr>
        <w:t>մասնակիցների</w:t>
      </w:r>
      <w:r w:rsidR="00F31955" w:rsidRPr="000671A3">
        <w:rPr>
          <w:rFonts w:ascii="GHEA Grapalat" w:hAnsi="GHEA Grapalat" w:cs="Arial"/>
          <w:lang w:val="hy-AM"/>
        </w:rPr>
        <w:t xml:space="preserve"> ընդլայնված </w:t>
      </w:r>
      <w:r w:rsidR="00E412E3" w:rsidRPr="000671A3">
        <w:rPr>
          <w:rFonts w:ascii="GHEA Grapalat" w:hAnsi="GHEA Grapalat" w:cs="Arial"/>
          <w:lang w:val="hy-AM"/>
        </w:rPr>
        <w:t>շրջանակը</w:t>
      </w:r>
      <w:r w:rsidR="00F31955" w:rsidRPr="000671A3">
        <w:rPr>
          <w:rFonts w:ascii="GHEA Grapalat" w:hAnsi="GHEA Grapalat" w:cs="Arial"/>
          <w:lang w:val="hy-AM"/>
        </w:rPr>
        <w:t xml:space="preserve"> </w:t>
      </w:r>
      <w:r w:rsidR="00846F63" w:rsidRPr="000671A3">
        <w:rPr>
          <w:rFonts w:ascii="GHEA Grapalat" w:hAnsi="GHEA Grapalat" w:cs="Arial"/>
          <w:lang w:val="hy-AM"/>
        </w:rPr>
        <w:t xml:space="preserve">առաջ է բերում </w:t>
      </w:r>
      <w:r w:rsidR="00C55DC8" w:rsidRPr="000671A3">
        <w:rPr>
          <w:rFonts w:ascii="GHEA Grapalat" w:hAnsi="GHEA Grapalat" w:cs="Arial"/>
          <w:lang w:val="hy-AM"/>
        </w:rPr>
        <w:t xml:space="preserve">ոլորտի </w:t>
      </w:r>
      <w:r w:rsidR="00846F63" w:rsidRPr="000671A3">
        <w:rPr>
          <w:rFonts w:ascii="GHEA Grapalat" w:hAnsi="GHEA Grapalat" w:cs="Arial"/>
          <w:lang w:val="hy-AM"/>
        </w:rPr>
        <w:t xml:space="preserve">համակարգման </w:t>
      </w:r>
      <w:proofErr w:type="spellStart"/>
      <w:r w:rsidR="007C7F41" w:rsidRPr="000671A3">
        <w:rPr>
          <w:rFonts w:ascii="GHEA Grapalat" w:hAnsi="GHEA Grapalat" w:cs="Sylfaen"/>
          <w:color w:val="191919"/>
          <w:shd w:val="clear" w:color="auto" w:fill="FFFFFF"/>
        </w:rPr>
        <w:t>նոր</w:t>
      </w:r>
      <w:proofErr w:type="spellEnd"/>
      <w:r w:rsidR="007C7F41" w:rsidRPr="000671A3">
        <w:rPr>
          <w:rFonts w:ascii="GHEA Grapalat" w:hAnsi="GHEA Grapalat" w:cs="Sylfaen"/>
          <w:color w:val="191919"/>
          <w:shd w:val="clear" w:color="auto" w:fill="FFFFFF"/>
        </w:rPr>
        <w:t xml:space="preserve"> </w:t>
      </w:r>
      <w:proofErr w:type="spellStart"/>
      <w:r w:rsidR="00C55DC8" w:rsidRPr="000671A3">
        <w:rPr>
          <w:rFonts w:ascii="GHEA Grapalat" w:hAnsi="GHEA Grapalat" w:cs="Sylfaen"/>
          <w:color w:val="191919"/>
          <w:shd w:val="clear" w:color="auto" w:fill="FFFFFF"/>
        </w:rPr>
        <w:t>մարտահրավերներ</w:t>
      </w:r>
      <w:proofErr w:type="spellEnd"/>
      <w:r w:rsidR="00C55DC8" w:rsidRPr="000671A3">
        <w:rPr>
          <w:rFonts w:ascii="GHEA Grapalat" w:hAnsi="GHEA Grapalat" w:cs="Sylfaen"/>
          <w:color w:val="191919"/>
          <w:shd w:val="clear" w:color="auto" w:fill="FFFFFF"/>
        </w:rPr>
        <w:t>։</w:t>
      </w:r>
      <w:r w:rsidR="0006296E" w:rsidRPr="000671A3">
        <w:rPr>
          <w:rFonts w:ascii="GHEA Grapalat" w:hAnsi="GHEA Grapalat" w:cs="Sylfaen"/>
          <w:color w:val="191919"/>
          <w:shd w:val="clear" w:color="auto" w:fill="FFFFFF"/>
        </w:rPr>
        <w:t xml:space="preserve"> </w:t>
      </w:r>
      <w:r w:rsidR="0006296E" w:rsidRPr="000671A3">
        <w:rPr>
          <w:rFonts w:ascii="GHEA Grapalat" w:hAnsi="GHEA Grapalat"/>
          <w:lang w:val="hy-AM"/>
        </w:rPr>
        <w:t xml:space="preserve">ԱՀՈՒ արդյունավետ կազմակերպման համար </w:t>
      </w:r>
      <w:r w:rsidR="00187764" w:rsidRPr="000671A3">
        <w:rPr>
          <w:rFonts w:ascii="GHEA Grapalat" w:hAnsi="GHEA Grapalat"/>
          <w:lang w:val="hy-AM"/>
        </w:rPr>
        <w:t>«Մասնագիտական կրթության և ուսուցման մասին» Հայաստանի Հանրապետության օրենքի  17-րդ հոդվածի 1-ին մասի 5-րդ կետով, 20-րդ հոդվածի 3-րդ մասով</w:t>
      </w:r>
      <w:r w:rsidR="004465D6" w:rsidRPr="000671A3">
        <w:rPr>
          <w:rFonts w:ascii="GHEA Grapalat" w:hAnsi="GHEA Grapalat"/>
        </w:rPr>
        <w:t xml:space="preserve">, </w:t>
      </w:r>
      <w:proofErr w:type="spellStart"/>
      <w:r w:rsidR="004465D6" w:rsidRPr="000671A3">
        <w:rPr>
          <w:rFonts w:ascii="GHEA Grapalat" w:hAnsi="GHEA Grapalat"/>
        </w:rPr>
        <w:t>ինչպես</w:t>
      </w:r>
      <w:proofErr w:type="spellEnd"/>
      <w:r w:rsidR="004465D6" w:rsidRPr="000671A3">
        <w:rPr>
          <w:rFonts w:ascii="GHEA Grapalat" w:hAnsi="GHEA Grapalat"/>
        </w:rPr>
        <w:t xml:space="preserve"> </w:t>
      </w:r>
      <w:proofErr w:type="spellStart"/>
      <w:r w:rsidR="004465D6" w:rsidRPr="000671A3">
        <w:rPr>
          <w:rFonts w:ascii="GHEA Grapalat" w:hAnsi="GHEA Grapalat"/>
        </w:rPr>
        <w:t>նաև</w:t>
      </w:r>
      <w:proofErr w:type="spellEnd"/>
      <w:r w:rsidR="004465D6" w:rsidRPr="000671A3">
        <w:rPr>
          <w:rFonts w:ascii="GHEA Grapalat" w:hAnsi="GHEA Grapalat"/>
        </w:rPr>
        <w:t xml:space="preserve"> </w:t>
      </w:r>
      <w:proofErr w:type="spellStart"/>
      <w:r w:rsidR="004465D6" w:rsidRPr="000671A3">
        <w:rPr>
          <w:rFonts w:ascii="GHEA Grapalat" w:hAnsi="GHEA Grapalat"/>
        </w:rPr>
        <w:t>Կրթության</w:t>
      </w:r>
      <w:proofErr w:type="spellEnd"/>
      <w:r w:rsidR="004465D6" w:rsidRPr="000671A3">
        <w:rPr>
          <w:rFonts w:ascii="GHEA Grapalat" w:hAnsi="GHEA Grapalat"/>
        </w:rPr>
        <w:t xml:space="preserve"> </w:t>
      </w:r>
      <w:proofErr w:type="spellStart"/>
      <w:r w:rsidR="004465D6" w:rsidRPr="000671A3">
        <w:rPr>
          <w:rFonts w:ascii="GHEA Grapalat" w:hAnsi="GHEA Grapalat"/>
        </w:rPr>
        <w:t>մասին</w:t>
      </w:r>
      <w:proofErr w:type="spellEnd"/>
      <w:r w:rsidR="004465D6" w:rsidRPr="000671A3">
        <w:rPr>
          <w:rFonts w:ascii="GHEA Grapalat" w:hAnsi="GHEA Grapalat"/>
        </w:rPr>
        <w:t xml:space="preserve"> </w:t>
      </w:r>
      <w:proofErr w:type="spellStart"/>
      <w:r w:rsidR="004465D6" w:rsidRPr="000671A3">
        <w:rPr>
          <w:rFonts w:ascii="GHEA Grapalat" w:hAnsi="GHEA Grapalat"/>
        </w:rPr>
        <w:t>օրենքի</w:t>
      </w:r>
      <w:proofErr w:type="spellEnd"/>
      <w:r w:rsidR="004465D6" w:rsidRPr="000671A3">
        <w:rPr>
          <w:rFonts w:ascii="GHEA Grapalat" w:hAnsi="GHEA Grapalat"/>
        </w:rPr>
        <w:t xml:space="preserve"> </w:t>
      </w:r>
      <w:r w:rsidR="00002EED" w:rsidRPr="000671A3">
        <w:rPr>
          <w:rFonts w:ascii="GHEA Grapalat" w:hAnsi="GHEA Grapalat"/>
        </w:rPr>
        <w:t xml:space="preserve">37-րդ </w:t>
      </w:r>
      <w:proofErr w:type="spellStart"/>
      <w:r w:rsidR="00002EED" w:rsidRPr="000671A3">
        <w:rPr>
          <w:rFonts w:ascii="GHEA Grapalat" w:hAnsi="GHEA Grapalat"/>
        </w:rPr>
        <w:t>հոդվածի</w:t>
      </w:r>
      <w:proofErr w:type="spellEnd"/>
      <w:r w:rsidR="00002EED" w:rsidRPr="000671A3">
        <w:rPr>
          <w:rFonts w:ascii="GHEA Grapalat" w:hAnsi="GHEA Grapalat"/>
        </w:rPr>
        <w:t xml:space="preserve"> 1-ին </w:t>
      </w:r>
      <w:proofErr w:type="spellStart"/>
      <w:r w:rsidR="00002EED" w:rsidRPr="000671A3">
        <w:rPr>
          <w:rFonts w:ascii="GHEA Grapalat" w:hAnsi="GHEA Grapalat"/>
        </w:rPr>
        <w:t>մասի</w:t>
      </w:r>
      <w:proofErr w:type="spellEnd"/>
      <w:r w:rsidR="00002EED" w:rsidRPr="000671A3">
        <w:rPr>
          <w:rFonts w:ascii="GHEA Grapalat" w:hAnsi="GHEA Grapalat"/>
        </w:rPr>
        <w:t xml:space="preserve"> </w:t>
      </w:r>
      <w:r w:rsidR="00002EED" w:rsidRPr="000671A3">
        <w:rPr>
          <w:rFonts w:ascii="GHEA Grapalat" w:hAnsi="GHEA Grapalat" w:cs="Arial"/>
          <w:color w:val="333333"/>
        </w:rPr>
        <w:t xml:space="preserve">9.2-րդ  և 9.4-րդ </w:t>
      </w:r>
      <w:proofErr w:type="spellStart"/>
      <w:r w:rsidR="00002EED" w:rsidRPr="000671A3">
        <w:rPr>
          <w:rFonts w:ascii="GHEA Grapalat" w:hAnsi="GHEA Grapalat" w:cs="Arial"/>
          <w:color w:val="333333"/>
        </w:rPr>
        <w:t>կետերով</w:t>
      </w:r>
      <w:proofErr w:type="spellEnd"/>
      <w:r w:rsidR="00002EED" w:rsidRPr="000671A3">
        <w:rPr>
          <w:rFonts w:ascii="GHEA Grapalat" w:hAnsi="GHEA Grapalat" w:cs="Arial"/>
          <w:color w:val="333333"/>
        </w:rPr>
        <w:t xml:space="preserve"> </w:t>
      </w:r>
      <w:r w:rsidR="00187764" w:rsidRPr="000671A3">
        <w:rPr>
          <w:rFonts w:ascii="GHEA Grapalat" w:hAnsi="GHEA Grapalat"/>
          <w:lang w:val="hy-AM"/>
        </w:rPr>
        <w:t xml:space="preserve"> նախատեսված է համակարգման </w:t>
      </w:r>
      <w:r w:rsidR="00FA2225" w:rsidRPr="000671A3">
        <w:rPr>
          <w:rFonts w:ascii="GHEA Grapalat" w:hAnsi="GHEA Grapalat"/>
          <w:lang w:val="hy-AM"/>
        </w:rPr>
        <w:t>գործառույթների</w:t>
      </w:r>
      <w:r w:rsidR="00187764" w:rsidRPr="000671A3">
        <w:rPr>
          <w:rFonts w:ascii="GHEA Grapalat" w:hAnsi="GHEA Grapalat"/>
          <w:lang w:val="hy-AM"/>
        </w:rPr>
        <w:t xml:space="preserve"> պատվիրակում </w:t>
      </w:r>
      <w:r w:rsidR="005A0FBA" w:rsidRPr="000671A3">
        <w:rPr>
          <w:rFonts w:ascii="GHEA Grapalat" w:hAnsi="GHEA Grapalat"/>
          <w:lang w:val="hy-AM"/>
        </w:rPr>
        <w:t>կրթության պետական կառավարման լիազոր մարմնի ընտրված կազմակերպությանը</w:t>
      </w:r>
      <w:r w:rsidR="005B041E" w:rsidRPr="000671A3">
        <w:rPr>
          <w:rFonts w:ascii="GHEA Grapalat" w:hAnsi="GHEA Grapalat"/>
          <w:lang w:val="hy-AM"/>
        </w:rPr>
        <w:t xml:space="preserve">։ </w:t>
      </w:r>
      <w:r w:rsidR="00334D93" w:rsidRPr="000671A3">
        <w:rPr>
          <w:rFonts w:ascii="GHEA Grapalat" w:hAnsi="GHEA Grapalat"/>
          <w:lang w:val="hy-AM"/>
        </w:rPr>
        <w:t xml:space="preserve">Այս մարմնին ՄԿՈՒ օրենքի </w:t>
      </w:r>
      <w:r w:rsidR="002C1D8F" w:rsidRPr="000671A3">
        <w:rPr>
          <w:rFonts w:ascii="GHEA Grapalat" w:hAnsi="GHEA Grapalat"/>
          <w:lang w:val="hy-AM"/>
        </w:rPr>
        <w:t xml:space="preserve">20-րդ հոդվածի </w:t>
      </w:r>
      <w:r w:rsidR="00334D93" w:rsidRPr="000671A3">
        <w:rPr>
          <w:rFonts w:ascii="GHEA Grapalat" w:hAnsi="GHEA Grapalat"/>
          <w:lang w:val="hy-AM"/>
        </w:rPr>
        <w:t>4</w:t>
      </w:r>
      <w:r w:rsidR="002C1D8F" w:rsidRPr="000671A3">
        <w:rPr>
          <w:rFonts w:ascii="GHEA Grapalat" w:hAnsi="GHEA Grapalat"/>
          <w:lang w:val="hy-AM"/>
        </w:rPr>
        <w:t>-րդ մասով վերապահված են</w:t>
      </w:r>
      <w:r w:rsidR="0006296E" w:rsidRPr="000671A3">
        <w:rPr>
          <w:rFonts w:ascii="GHEA Grapalat" w:hAnsi="GHEA Grapalat"/>
          <w:lang w:val="hy-AM"/>
        </w:rPr>
        <w:t>, մասնավորապես,</w:t>
      </w:r>
      <w:r w:rsidR="002C1D8F" w:rsidRPr="000671A3">
        <w:rPr>
          <w:rFonts w:ascii="GHEA Grapalat" w:hAnsi="GHEA Grapalat"/>
          <w:lang w:val="hy-AM"/>
        </w:rPr>
        <w:t xml:space="preserve"> ԱՀ</w:t>
      </w:r>
      <w:r w:rsidR="00E412E3" w:rsidRPr="000671A3">
        <w:rPr>
          <w:rFonts w:ascii="GHEA Grapalat" w:hAnsi="GHEA Grapalat"/>
          <w:lang w:val="hy-AM"/>
        </w:rPr>
        <w:t>Ո</w:t>
      </w:r>
      <w:r w:rsidR="002C1D8F" w:rsidRPr="000671A3">
        <w:rPr>
          <w:rFonts w:ascii="GHEA Grapalat" w:hAnsi="GHEA Grapalat"/>
          <w:lang w:val="hy-AM"/>
        </w:rPr>
        <w:t xml:space="preserve">Ւ տեսակներից մեկի՝ դուալ </w:t>
      </w:r>
      <w:r w:rsidR="00E412E3" w:rsidRPr="000671A3">
        <w:rPr>
          <w:rFonts w:ascii="GHEA Grapalat" w:hAnsi="GHEA Grapalat"/>
          <w:lang w:val="hy-AM"/>
        </w:rPr>
        <w:t>ուսումնառության</w:t>
      </w:r>
      <w:r w:rsidR="002C1D8F" w:rsidRPr="000671A3">
        <w:rPr>
          <w:rFonts w:ascii="GHEA Grapalat" w:hAnsi="GHEA Grapalat"/>
          <w:lang w:val="hy-AM"/>
        </w:rPr>
        <w:t xml:space="preserve"> </w:t>
      </w:r>
      <w:r w:rsidR="00E412E3" w:rsidRPr="000671A3">
        <w:rPr>
          <w:rFonts w:ascii="GHEA Grapalat" w:hAnsi="GHEA Grapalat"/>
          <w:lang w:val="hy-AM"/>
        </w:rPr>
        <w:t>համակարգման</w:t>
      </w:r>
      <w:r w:rsidR="002C1D8F" w:rsidRPr="000671A3">
        <w:rPr>
          <w:rFonts w:ascii="GHEA Grapalat" w:hAnsi="GHEA Grapalat"/>
          <w:lang w:val="hy-AM"/>
        </w:rPr>
        <w:t xml:space="preserve"> </w:t>
      </w:r>
      <w:r w:rsidR="00E412E3" w:rsidRPr="000671A3">
        <w:rPr>
          <w:rFonts w:ascii="GHEA Grapalat" w:hAnsi="GHEA Grapalat"/>
          <w:lang w:val="hy-AM"/>
        </w:rPr>
        <w:t>բնագավառում</w:t>
      </w:r>
      <w:r w:rsidR="002C1D8F" w:rsidRPr="000671A3">
        <w:rPr>
          <w:rFonts w:ascii="GHEA Grapalat" w:hAnsi="GHEA Grapalat"/>
          <w:lang w:val="hy-AM"/>
        </w:rPr>
        <w:t xml:space="preserve"> մի շարք առան</w:t>
      </w:r>
      <w:r w:rsidR="00903770" w:rsidRPr="000671A3">
        <w:rPr>
          <w:rFonts w:ascii="GHEA Grapalat" w:hAnsi="GHEA Grapalat"/>
          <w:lang w:val="hy-AM"/>
        </w:rPr>
        <w:t>ց</w:t>
      </w:r>
      <w:r w:rsidR="002C1D8F" w:rsidRPr="000671A3">
        <w:rPr>
          <w:rFonts w:ascii="GHEA Grapalat" w:hAnsi="GHEA Grapalat"/>
          <w:lang w:val="hy-AM"/>
        </w:rPr>
        <w:t xml:space="preserve">քային </w:t>
      </w:r>
      <w:r w:rsidR="00E412E3" w:rsidRPr="000671A3">
        <w:rPr>
          <w:rFonts w:ascii="GHEA Grapalat" w:hAnsi="GHEA Grapalat"/>
          <w:lang w:val="hy-AM"/>
        </w:rPr>
        <w:t>գործառույթներ</w:t>
      </w:r>
      <w:r w:rsidR="002C1D8F" w:rsidRPr="000671A3">
        <w:rPr>
          <w:rFonts w:ascii="GHEA Grapalat" w:hAnsi="GHEA Grapalat"/>
          <w:lang w:val="hy-AM"/>
        </w:rPr>
        <w:t xml:space="preserve">, այդ թվում՝ </w:t>
      </w:r>
    </w:p>
    <w:p w14:paraId="43AD0E19" w14:textId="01B332B4" w:rsidR="00334D93" w:rsidRPr="000671A3" w:rsidRDefault="00334D9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671A3">
        <w:rPr>
          <w:rFonts w:ascii="GHEA Grapalat" w:hAnsi="GHEA Grapalat"/>
          <w:sz w:val="24"/>
          <w:szCs w:val="24"/>
          <w:lang w:val="hy-AM"/>
        </w:rPr>
        <w:lastRenderedPageBreak/>
        <w:t>1) սահմանում է գործատուների՝ որպես աշխատանքի վրա հիմնված ուսումնառության ձևով կրթական ծրագրի իրականացնող կողմ հանդես գալու նվազագույն պահանջները և ընթացակարգը.</w:t>
      </w:r>
    </w:p>
    <w:p w14:paraId="6102A8DA" w14:textId="77777777" w:rsidR="00334D93" w:rsidRPr="000671A3" w:rsidRDefault="00334D9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671A3">
        <w:rPr>
          <w:rFonts w:ascii="GHEA Grapalat" w:hAnsi="GHEA Grapalat"/>
          <w:sz w:val="24"/>
          <w:szCs w:val="24"/>
          <w:lang w:val="hy-AM"/>
        </w:rPr>
        <w:t>2) սահմանում է մասնագիտական ուսուցման հրահանգչի ընտրության չափանիշները.</w:t>
      </w:r>
    </w:p>
    <w:p w14:paraId="3E148FE2" w14:textId="23DA2815" w:rsidR="00334D93" w:rsidRPr="000671A3" w:rsidRDefault="00334D9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671A3">
        <w:rPr>
          <w:rFonts w:ascii="GHEA Grapalat" w:hAnsi="GHEA Grapalat"/>
          <w:sz w:val="24"/>
          <w:szCs w:val="24"/>
          <w:lang w:val="hy-AM"/>
        </w:rPr>
        <w:t>3)</w:t>
      </w:r>
      <w:r w:rsidR="00903770" w:rsidRPr="000671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71A3">
        <w:rPr>
          <w:rFonts w:ascii="GHEA Grapalat" w:hAnsi="GHEA Grapalat"/>
          <w:sz w:val="24"/>
          <w:szCs w:val="24"/>
          <w:lang w:val="hy-AM"/>
        </w:rPr>
        <w:t>կազմակերպում է մասնագիտական ուսուցման հրահանգիչների վերապատրաստումը և շարունակական կատարելագործումը.</w:t>
      </w:r>
    </w:p>
    <w:p w14:paraId="3A7D0592" w14:textId="77777777" w:rsidR="002C1D8F" w:rsidRPr="000671A3" w:rsidRDefault="00334D9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671A3">
        <w:rPr>
          <w:rFonts w:ascii="GHEA Grapalat" w:hAnsi="GHEA Grapalat"/>
          <w:sz w:val="24"/>
          <w:szCs w:val="24"/>
          <w:lang w:val="hy-AM"/>
        </w:rPr>
        <w:t>4) ստեղծում և վարում է սոցիալական գործընկերության կողմ կազմակերպությունների տեղեկատու</w:t>
      </w:r>
      <w:r w:rsidR="002C1D8F" w:rsidRPr="000671A3">
        <w:rPr>
          <w:rFonts w:ascii="GHEA Grapalat" w:hAnsi="GHEA Grapalat"/>
          <w:sz w:val="24"/>
          <w:szCs w:val="24"/>
          <w:lang w:val="hy-AM"/>
        </w:rPr>
        <w:t>։</w:t>
      </w:r>
    </w:p>
    <w:p w14:paraId="3F564094" w14:textId="64B730F4" w:rsidR="0006296E" w:rsidRPr="000671A3" w:rsidRDefault="0006296E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671A3">
        <w:rPr>
          <w:rFonts w:ascii="GHEA Grapalat" w:hAnsi="GHEA Grapalat" w:cs="Arial"/>
          <w:sz w:val="24"/>
          <w:szCs w:val="24"/>
          <w:lang w:val="hy-AM"/>
        </w:rPr>
        <w:t>Այդո</w:t>
      </w:r>
      <w:r w:rsidR="00D36458" w:rsidRPr="000671A3">
        <w:rPr>
          <w:rFonts w:ascii="GHEA Grapalat" w:hAnsi="GHEA Grapalat" w:cs="Arial"/>
          <w:sz w:val="24"/>
          <w:szCs w:val="24"/>
          <w:lang w:val="hy-AM"/>
        </w:rPr>
        <w:t>ւ</w:t>
      </w:r>
      <w:r w:rsidRPr="000671A3">
        <w:rPr>
          <w:rFonts w:ascii="GHEA Grapalat" w:hAnsi="GHEA Grapalat" w:cs="Arial"/>
          <w:sz w:val="24"/>
          <w:szCs w:val="24"/>
          <w:lang w:val="hy-AM"/>
        </w:rPr>
        <w:t xml:space="preserve">հանդերձ, </w:t>
      </w:r>
      <w:r w:rsidR="00D36458" w:rsidRPr="000671A3">
        <w:rPr>
          <w:rFonts w:ascii="GHEA Grapalat" w:hAnsi="GHEA Grapalat" w:cs="Arial"/>
          <w:sz w:val="24"/>
          <w:szCs w:val="24"/>
          <w:lang w:val="hy-AM"/>
        </w:rPr>
        <w:t xml:space="preserve">մասնագիտական կրթության որակի բարձրացումը և ոլորտի համակարգումը հնարավոր չէ սահմանափակել միայն դուալ ուսումնառության </w:t>
      </w:r>
      <w:r w:rsidR="00D61B08" w:rsidRPr="000671A3">
        <w:rPr>
          <w:rFonts w:ascii="GHEA Grapalat" w:hAnsi="GHEA Grapalat" w:cs="Arial"/>
          <w:sz w:val="24"/>
          <w:szCs w:val="24"/>
          <w:lang w:val="hy-AM"/>
        </w:rPr>
        <w:t xml:space="preserve">տեսակով։ Այն թեև ԱՀՈՒ առավել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կատարելագործված</w:t>
      </w:r>
      <w:r w:rsidR="00D61B08" w:rsidRPr="000671A3">
        <w:rPr>
          <w:rFonts w:ascii="GHEA Grapalat" w:hAnsi="GHEA Grapalat" w:cs="Arial"/>
          <w:sz w:val="24"/>
          <w:szCs w:val="24"/>
          <w:lang w:val="hy-AM"/>
        </w:rPr>
        <w:t xml:space="preserve"> ձևն է, սակայն նոր օրենքով 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դրված մարտահրավերները պահանջում են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համապարփակ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 մոտեցումներ ԱՀՈՒ բոլոր երեք տեսակների մասով էլ։ Միևնու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յ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ն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ժամանակ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, ֆորմալ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 կրթ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ությունի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ց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 xml:space="preserve">բացի պետք է հաշվի առնել 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ոչ ֆորմալ և ինֆորմալ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կրթությունը</w:t>
      </w:r>
      <w:r w:rsidR="00DB60E1" w:rsidRPr="000671A3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16794B" w:rsidRPr="000671A3">
        <w:rPr>
          <w:rFonts w:ascii="GHEA Grapalat" w:hAnsi="GHEA Grapalat" w:cs="Arial"/>
          <w:sz w:val="24"/>
          <w:szCs w:val="24"/>
          <w:lang w:val="hy-AM"/>
        </w:rPr>
        <w:t>հմտությունների ճանաչումը, քանի որ ժամանակակից աշխարհը ընթանում է կարճաժամկետ դասընթացների միջոցով հմտություններ արձանագրելու կամ փաստացի ձեռք բերված հմտությունների ճանաչման ճանապարհով։ Ուստի նպատակահարմար է ոլորտում համակարգման բոլոր գործառույթները մեկտեղել մեկ մարմնի ձեռքում։</w:t>
      </w:r>
    </w:p>
    <w:p w14:paraId="5867D57C" w14:textId="77777777" w:rsidR="005B041E" w:rsidRPr="000671A3" w:rsidRDefault="0016794B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0671A3">
        <w:rPr>
          <w:rFonts w:ascii="GHEA Grapalat" w:hAnsi="GHEA Grapalat" w:cs="Arial"/>
          <w:sz w:val="24"/>
          <w:szCs w:val="24"/>
          <w:lang w:val="hy-AM"/>
        </w:rPr>
        <w:t>Ինստիտուցիոնալ տեսանկյունից, Կառավարության դ</w:t>
      </w:r>
      <w:r w:rsidR="004F62EB" w:rsidRPr="000671A3">
        <w:rPr>
          <w:rFonts w:ascii="GHEA Grapalat" w:hAnsi="GHEA Grapalat" w:cs="Arial"/>
          <w:sz w:val="24"/>
          <w:szCs w:val="24"/>
          <w:lang w:val="hy-AM"/>
        </w:rPr>
        <w:t>եռևս 2011 թ</w:t>
      </w:r>
      <w:r w:rsidR="004F62EB" w:rsidRPr="000671A3">
        <w:rPr>
          <w:rFonts w:ascii="Cambria Math" w:eastAsia="Microsoft JhengHei" w:hAnsi="Cambria Math" w:cs="Cambria Math"/>
          <w:sz w:val="24"/>
          <w:szCs w:val="24"/>
          <w:lang w:val="hy-AM"/>
        </w:rPr>
        <w:t>․</w:t>
      </w:r>
      <w:r w:rsidR="0006296E" w:rsidRPr="000671A3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</w:t>
      </w:r>
      <w:r w:rsidR="004F62EB" w:rsidRPr="000671A3">
        <w:rPr>
          <w:rFonts w:ascii="GHEA Grapalat" w:eastAsia="MS Gothic" w:hAnsi="GHEA Grapalat" w:cs="Sylfaen"/>
          <w:sz w:val="24"/>
          <w:szCs w:val="24"/>
          <w:lang w:val="hy-AM"/>
        </w:rPr>
        <w:t>հոկտեմբերի</w:t>
      </w:r>
      <w:r w:rsidR="004F62EB" w:rsidRPr="000671A3">
        <w:rPr>
          <w:rFonts w:ascii="GHEA Grapalat" w:eastAsia="MS Gothic" w:hAnsi="GHEA Grapalat" w:cs="MS Gothic"/>
          <w:sz w:val="24"/>
          <w:szCs w:val="24"/>
          <w:lang w:val="hy-AM"/>
        </w:rPr>
        <w:t xml:space="preserve"> 27-ի N 1550-</w:t>
      </w:r>
      <w:r w:rsidR="004F62EB" w:rsidRPr="000671A3">
        <w:rPr>
          <w:rFonts w:ascii="GHEA Grapalat" w:eastAsia="MS Gothic" w:hAnsi="GHEA Grapalat" w:cs="Sylfaen"/>
          <w:sz w:val="24"/>
          <w:szCs w:val="24"/>
          <w:lang w:val="hy-AM"/>
        </w:rPr>
        <w:t xml:space="preserve">Ն </w:t>
      </w:r>
      <w:r w:rsidR="00E412E3" w:rsidRPr="000671A3">
        <w:rPr>
          <w:rFonts w:ascii="GHEA Grapalat" w:eastAsia="MS Gothic" w:hAnsi="GHEA Grapalat" w:cs="Sylfaen"/>
          <w:sz w:val="24"/>
          <w:szCs w:val="24"/>
          <w:lang w:val="hy-AM"/>
        </w:rPr>
        <w:t>որոշմամբ</w:t>
      </w:r>
      <w:r w:rsidR="004F62EB" w:rsidRPr="000671A3">
        <w:rPr>
          <w:rFonts w:ascii="GHEA Grapalat" w:eastAsia="MS Gothic" w:hAnsi="GHEA Grapalat" w:cs="Sylfaen"/>
          <w:sz w:val="24"/>
          <w:szCs w:val="24"/>
          <w:lang w:val="hy-AM"/>
        </w:rPr>
        <w:t xml:space="preserve"> ստեղծվել էր </w:t>
      </w:r>
      <w:r w:rsidR="00553787" w:rsidRPr="000671A3">
        <w:rPr>
          <w:rFonts w:ascii="GHEA Grapalat" w:hAnsi="GHEA Grapalat" w:cs="Arial"/>
          <w:b/>
          <w:sz w:val="24"/>
          <w:szCs w:val="24"/>
          <w:lang w:val="hy-AM"/>
        </w:rPr>
        <w:t>«Ուսուցման ազգային հիմնադրամը»,</w:t>
      </w:r>
      <w:r w:rsidR="00553787" w:rsidRPr="000671A3">
        <w:rPr>
          <w:rFonts w:ascii="GHEA Grapalat" w:hAnsi="GHEA Grapalat" w:cs="Arial"/>
          <w:sz w:val="24"/>
          <w:szCs w:val="24"/>
          <w:lang w:val="hy-AM"/>
        </w:rPr>
        <w:t xml:space="preserve"> որին</w:t>
      </w:r>
      <w:r w:rsidRPr="000671A3">
        <w:rPr>
          <w:rFonts w:ascii="GHEA Grapalat" w:hAnsi="GHEA Grapalat" w:cs="Arial"/>
          <w:sz w:val="24"/>
          <w:szCs w:val="24"/>
          <w:lang w:val="hy-AM"/>
        </w:rPr>
        <w:t>,</w:t>
      </w:r>
      <w:r w:rsidR="00553787" w:rsidRPr="000671A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671A3">
        <w:rPr>
          <w:rFonts w:ascii="GHEA Grapalat" w:hAnsi="GHEA Grapalat" w:cs="Arial"/>
          <w:sz w:val="24"/>
          <w:szCs w:val="24"/>
          <w:lang w:val="hy-AM"/>
        </w:rPr>
        <w:t xml:space="preserve">«Կրթության մասին» օրենքի 37-րդ հոդվածի 1-ին մասի 9.2-րդ, 9.4-րդ և 9.10-րդ կետերին համապատասխան, </w:t>
      </w:r>
      <w:r w:rsidR="00553787" w:rsidRPr="000671A3">
        <w:rPr>
          <w:rFonts w:ascii="GHEA Grapalat" w:hAnsi="GHEA Grapalat" w:cs="Arial"/>
          <w:sz w:val="24"/>
          <w:szCs w:val="24"/>
          <w:lang w:val="hy-AM"/>
        </w:rPr>
        <w:t>վերապահվել էին</w:t>
      </w:r>
      <w:r w:rsidR="000B19D1" w:rsidRPr="000671A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53194" w:rsidRPr="000671A3">
        <w:rPr>
          <w:rFonts w:ascii="GHEA Grapalat" w:hAnsi="GHEA Grapalat" w:cs="Arial"/>
          <w:sz w:val="24"/>
          <w:szCs w:val="24"/>
          <w:lang w:val="hy-AM"/>
        </w:rPr>
        <w:t>մասնագիտական ուսուցման ոլորտում</w:t>
      </w:r>
      <w:r w:rsidRPr="000671A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34E6C" w:rsidRPr="000671A3">
        <w:rPr>
          <w:rFonts w:ascii="GHEA Grapalat" w:hAnsi="GHEA Grapalat" w:cs="Arial"/>
          <w:sz w:val="24"/>
          <w:szCs w:val="24"/>
          <w:lang w:val="hy-AM"/>
        </w:rPr>
        <w:t xml:space="preserve">մի շարք </w:t>
      </w:r>
      <w:r w:rsidR="00E412E3" w:rsidRPr="000671A3">
        <w:rPr>
          <w:rFonts w:ascii="GHEA Grapalat" w:hAnsi="GHEA Grapalat" w:cs="Arial"/>
          <w:sz w:val="24"/>
          <w:szCs w:val="24"/>
          <w:lang w:val="hy-AM"/>
        </w:rPr>
        <w:t>գործառույթներ</w:t>
      </w:r>
      <w:r w:rsidR="00734E6C" w:rsidRPr="000671A3">
        <w:rPr>
          <w:rFonts w:ascii="GHEA Grapalat" w:hAnsi="GHEA Grapalat" w:cs="Arial"/>
          <w:sz w:val="24"/>
          <w:szCs w:val="24"/>
          <w:lang w:val="hy-AM"/>
        </w:rPr>
        <w:t xml:space="preserve">, այդ թվում ՝ 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աջակցել ոչ ֆորմալ և ինֆորմալ ուսուցման արդյունքների ճանաչման համակարգի ձևավորմանն ու ներդրմանը։ </w:t>
      </w: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Հիմնադրամի 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գործունեությունը հիմնականում ծավալվել է վերապատրաստումների, փորձաքննությունների, մեթոդական աջակցման և կրթության ոլորտում ճանաչման մեխանիզմների մշակման ուղղությամբ։</w:t>
      </w:r>
      <w:r w:rsidR="00734E6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14:paraId="63302C1C" w14:textId="6E2B9943" w:rsidR="005874B4" w:rsidRPr="000671A3" w:rsidRDefault="00734E6C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Միաժամանակ, 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«Կրթության զարգացման և նորարարությունների ազգային կենտրոն» հիմնադրամի կազմում</w:t>
      </w:r>
      <w:r w:rsidR="005B041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դեռևս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16794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20</w:t>
      </w:r>
      <w:r w:rsidR="005B041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19</w:t>
      </w:r>
      <w:r w:rsidR="0016794B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թ</w:t>
      </w:r>
      <w:r w:rsidR="0016794B" w:rsidRPr="000671A3">
        <w:rPr>
          <w:rFonts w:ascii="Cambria Math" w:eastAsia="Microsoft JhengHei" w:hAnsi="Cambria Math" w:cs="Cambria Math"/>
          <w:color w:val="191919"/>
          <w:sz w:val="24"/>
          <w:szCs w:val="24"/>
          <w:shd w:val="clear" w:color="auto" w:fill="FFFFFF"/>
          <w:lang w:val="hy-AM"/>
        </w:rPr>
        <w:t>․</w:t>
      </w:r>
      <w:r w:rsidR="0016794B" w:rsidRPr="000671A3">
        <w:rPr>
          <w:rFonts w:ascii="GHEA Grapalat" w:eastAsia="Microsoft JhengHei" w:hAnsi="GHEA Grapalat" w:cs="Microsoft JhengHei"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ձևավորվե</w:t>
      </w:r>
      <w:r w:rsidR="006447E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լ է </w:t>
      </w:r>
      <w:r w:rsidR="007C7F41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  <w:lang w:val="hy-AM"/>
        </w:rPr>
        <w:t xml:space="preserve">Մասնագիտական կրթության և </w:t>
      </w:r>
      <w:r w:rsidR="007C7F41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  <w:lang w:val="hy-AM"/>
        </w:rPr>
        <w:lastRenderedPageBreak/>
        <w:t>ուսուցման զարգացման ազգային կենտրոն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(ՄԿՈՒԶԱԿ) </w:t>
      </w:r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անվանմամբ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մասնագիտացված </w:t>
      </w:r>
      <w:r w:rsidR="006447ED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հիմնարկ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, որն իրականացնում է </w:t>
      </w:r>
      <w:r w:rsidR="00F2232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ՄԿՈՒ 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քաղաքականության մշակմանն ու ներդրմանն աջակցող ծրագրեր, </w:t>
      </w:r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կրթական չափորոշիչների մշակում, կրթական ծրագրերի փորձաքննություն և այն</w:t>
      </w:r>
      <w:r w:rsidR="00F22329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։ 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Սակայն այդ ստորաբաժանումը չուն</w:t>
      </w:r>
      <w:r w:rsidR="007877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ի</w:t>
      </w:r>
      <w:r w:rsidR="007C7F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առանձին իրավաբանական կարգավիճակ։</w:t>
      </w:r>
      <w:r w:rsidR="007877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</w:t>
      </w:r>
    </w:p>
    <w:p w14:paraId="3E04FE67" w14:textId="79DFB032" w:rsidR="007C7F41" w:rsidRPr="000671A3" w:rsidRDefault="007C7F41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Նոր օրենսդրական իրադրությունը պահանջում է ինստիտուցիոնալ վերակազմակերպում՝ ապահովելու համար </w:t>
      </w:r>
      <w:r w:rsidR="0078773E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ՄԿՈՒ</w:t>
      </w:r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ոլորտի համապարփակ քաղաքական համակարգումը՝ կենտրոնացված և լիազորված մեկ մարմնի կողմից։ </w:t>
      </w:r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Ուստի </w:t>
      </w:r>
      <w:r w:rsidR="002636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ՀՀ կրթության, գիտության, մշակույթի և սպորտի նախարարությունը նպատակահարմար է համարել վերանայել «Ուսուցման ազգային հիմնադրամի» </w:t>
      </w:r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կանոնադրությունը</w:t>
      </w:r>
      <w:r w:rsidR="002636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>,</w:t>
      </w:r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նպատակներն ու գործառույթները՝</w:t>
      </w:r>
      <w:r w:rsidR="002636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ապահովելու համար </w:t>
      </w:r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նոր օրենքի տրամաբանությանը համապատասխան </w:t>
      </w:r>
      <w:r w:rsidR="002636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ՄԿՈՒ համակարգի արդյունավետ համակարգում և իրականացում։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Այդ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նպատակով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՝</w:t>
      </w:r>
    </w:p>
    <w:p w14:paraId="5862EAD5" w14:textId="71817FDB" w:rsidR="0083788C" w:rsidRPr="000671A3" w:rsidRDefault="001D4D1B" w:rsidP="000671A3">
      <w:pPr>
        <w:numPr>
          <w:ilvl w:val="0"/>
          <w:numId w:val="22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proofErr w:type="gram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</w:t>
      </w:r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ռաջարկվում</w:t>
      </w:r>
      <w:proofErr w:type="spellEnd"/>
      <w:proofErr w:type="gram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վերանվանել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«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ազգային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հիմնադրամը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»՝ «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զարգացման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ազգային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կենտրոն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»</w:t>
      </w:r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(ՄԿՈՒԶԱԿ)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անվամբ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արտացոլելու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հիմնադրամի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նոր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ընդլայնված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գործառույթները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263641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</w:t>
      </w:r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ԿՈՒ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համակարգի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համապարփակ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կառավարման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զարգացման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շրջանակում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2458661E" w14:textId="4310C57B" w:rsidR="0083788C" w:rsidRPr="000671A3" w:rsidRDefault="001D4D1B" w:rsidP="000671A3">
      <w:pPr>
        <w:numPr>
          <w:ilvl w:val="0"/>
          <w:numId w:val="22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</w:t>
      </w:r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ռաջարկվում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հաստատել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հիմնադրամի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կանոնադրության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նոր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խմբագրությունը</w:t>
      </w:r>
      <w:proofErr w:type="spellEnd"/>
      <w:r w:rsidR="0083788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,</w:t>
      </w:r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որով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հիմնադրամին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վերապահվում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ոչ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միայն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ոչ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միայն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նախկինում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իրագործվող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ոչ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ֆորմալ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/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ինֆորմալ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ճանաչման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այլ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նաև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ամբողջ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ՄԿՈՒ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քաղաքականության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ռազմավարական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զարգացման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սոցիալական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գործընկերության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ամրապնդման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պետական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ծրագրերի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իրականացման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հանրային-մասնավոր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համագործակցության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մասնագիտական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կողմնորոշման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կրթության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որակի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ապահովման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ուսումնառության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արդյունքների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ճանաչման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հետ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կապված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գործառույթներ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57EE7CD9" w14:textId="60336E16" w:rsidR="001D4D1B" w:rsidRPr="000671A3" w:rsidRDefault="001D4D1B" w:rsidP="000671A3">
      <w:pPr>
        <w:pStyle w:val="ListParagraph"/>
        <w:numPr>
          <w:ilvl w:val="0"/>
          <w:numId w:val="22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Այս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միջոցով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միավորվում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ինստիտուցիոնալացվում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նախկինում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բաշխված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գործառույթները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վերացվում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գործառույթների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կրկնությունը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ձևավորվում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մասնագիտացված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իրավասու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և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ժամանակակից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միավոր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արդիական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ՄԿՈՒ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կայացման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նպատակով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683109DE" w14:textId="325306B2" w:rsidR="0083788C" w:rsidRPr="00D836B6" w:rsidRDefault="001D4D1B" w:rsidP="000671A3">
      <w:pPr>
        <w:numPr>
          <w:ilvl w:val="0"/>
          <w:numId w:val="22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lastRenderedPageBreak/>
        <w:t>Արդյունքում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</w:t>
      </w:r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</w:t>
      </w:r>
      <w:proofErr w:type="spellEnd"/>
      <w:r w:rsidR="00FA75EA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75EA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գործառույթներով</w:t>
      </w:r>
      <w:proofErr w:type="spellEnd"/>
      <w:r w:rsidR="00FA75EA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75EA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վերանվանված</w:t>
      </w:r>
      <w:proofErr w:type="spellEnd"/>
      <w:r w:rsidR="00FA75EA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ՄԿՈՒԶԱԿ-ը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կդառնա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ՀՀ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կառավարության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լիազոր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մարմնի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ԿԳՄՍ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նախարարության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գործառնական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գործիքներից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մեկը</w:t>
      </w:r>
      <w:proofErr w:type="spellEnd"/>
      <w:r w:rsidR="0083788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263641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</w:t>
      </w:r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ԿՈՒ </w:t>
      </w:r>
      <w:proofErr w:type="spellStart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պետական</w:t>
      </w:r>
      <w:proofErr w:type="spellEnd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քաղաքականության</w:t>
      </w:r>
      <w:proofErr w:type="spellEnd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համակարգման</w:t>
      </w:r>
      <w:proofErr w:type="spellEnd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ոլորտում</w:t>
      </w:r>
      <w:proofErr w:type="spellEnd"/>
      <w:r w:rsidR="0083788C"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</w:p>
    <w:p w14:paraId="3634BAB9" w14:textId="7060BCE7" w:rsidR="0044503F" w:rsidRPr="00D836B6" w:rsidRDefault="0044503F" w:rsidP="000671A3">
      <w:pPr>
        <w:numPr>
          <w:ilvl w:val="0"/>
          <w:numId w:val="22"/>
        </w:num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r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ՄԿՈՒԶԱԿ-ը</w:t>
      </w:r>
      <w:r w:rsidRPr="00D836B6"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  <w:t xml:space="preserve"> գործելու է </w:t>
      </w:r>
      <w:r w:rsidRPr="00D836B6">
        <w:rPr>
          <w:rFonts w:ascii="GHEA Grapalat" w:hAnsi="GHEA Grapalat"/>
          <w:sz w:val="24"/>
          <w:szCs w:val="24"/>
          <w:lang w:val="hy-AM"/>
        </w:rPr>
        <w:t>Հայաստանի Հանրապետություն, Երևան, Տիգրան Մեծ 67</w:t>
      </w:r>
      <w:r w:rsidR="0041682E" w:rsidRPr="00D836B6">
        <w:rPr>
          <w:rFonts w:ascii="GHEA Grapalat" w:hAnsi="GHEA Grapalat"/>
          <w:sz w:val="24"/>
          <w:szCs w:val="24"/>
          <w:lang w:val="hy-AM"/>
        </w:rPr>
        <w:t xml:space="preserve"> հասցեում:</w:t>
      </w:r>
    </w:p>
    <w:p w14:paraId="66FA707E" w14:textId="77777777" w:rsidR="00BB0780" w:rsidRPr="000671A3" w:rsidRDefault="00BB0780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</w:pPr>
    </w:p>
    <w:p w14:paraId="2D2AD716" w14:textId="0B78B4C4" w:rsidR="00415E3C" w:rsidRPr="000671A3" w:rsidRDefault="0090212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Microsoft JhengHei" w:hAnsi="GHEA Grapalat" w:cs="Microsoft JhengHei"/>
          <w:b/>
          <w:bCs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Հիմնադրի</w:t>
      </w:r>
      <w:proofErr w:type="spellEnd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կողմի</w:t>
      </w:r>
      <w:bookmarkStart w:id="0" w:name="_GoBack"/>
      <w:bookmarkEnd w:id="0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ց</w:t>
      </w:r>
      <w:proofErr w:type="spellEnd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կանոնադրության</w:t>
      </w:r>
      <w:proofErr w:type="spellEnd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փոփոխման</w:t>
      </w:r>
      <w:proofErr w:type="spellEnd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իրավունքի</w:t>
      </w:r>
      <w:proofErr w:type="spellEnd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հիմնավորումը</w:t>
      </w:r>
      <w:proofErr w:type="spellEnd"/>
      <w:r w:rsidR="005874B4" w:rsidRPr="000671A3">
        <w:rPr>
          <w:rFonts w:ascii="Cambria Math" w:eastAsia="Microsoft JhengHei" w:hAnsi="Cambria Math" w:cs="Cambria Math"/>
          <w:b/>
          <w:bCs/>
          <w:color w:val="191919"/>
          <w:sz w:val="24"/>
          <w:szCs w:val="24"/>
          <w:shd w:val="clear" w:color="auto" w:fill="FFFFFF"/>
        </w:rPr>
        <w:t>․</w:t>
      </w:r>
    </w:p>
    <w:p w14:paraId="205C2EB6" w14:textId="77777777" w:rsidR="005874B4" w:rsidRPr="000671A3" w:rsidRDefault="005874B4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</w:pPr>
    </w:p>
    <w:p w14:paraId="3A1CCE2D" w14:textId="4A507EB2" w:rsidR="00415E3C" w:rsidRPr="000671A3" w:rsidRDefault="0090212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</w:pP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Քանի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«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Ուսուցման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ազգային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հիմնադրամը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»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ստեղծվել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ՀՀ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կառավարության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որոշմամբ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նրա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անվանափոխությունն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փոփոխությունը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նույնպես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ենթակա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Կառավարության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որոշմամբ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հաստատման</w:t>
      </w:r>
      <w:proofErr w:type="spellEnd"/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ստորև</w:t>
      </w:r>
      <w:proofErr w:type="spellEnd"/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բերվող</w:t>
      </w:r>
      <w:proofErr w:type="spellEnd"/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հիմնավորմամբ</w:t>
      </w:r>
      <w:proofErr w:type="spellEnd"/>
      <w:r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  <w:r w:rsidR="005874B4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«</w:t>
      </w:r>
      <w:proofErr w:type="spellStart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Հիմնադրամների</w:t>
      </w:r>
      <w:proofErr w:type="spellEnd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մասին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»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օրենքը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սահմանում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հիմնադրամի</w:t>
      </w:r>
      <w:proofErr w:type="spellEnd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E412E3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կանոնադրությունը</w:t>
      </w:r>
      <w:proofErr w:type="spellEnd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փոփոխելու</w:t>
      </w:r>
      <w:proofErr w:type="spellEnd"/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երկու</w:t>
      </w:r>
      <w:proofErr w:type="spellEnd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ինքնուրույն</w:t>
      </w:r>
      <w:proofErr w:type="spellEnd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կարգավորու</w:t>
      </w:r>
      <w:r w:rsidR="005874B4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մ</w:t>
      </w:r>
      <w:proofErr w:type="spellEnd"/>
      <w:r w:rsidR="00BB0780" w:rsidRPr="000671A3">
        <w:rPr>
          <w:rFonts w:ascii="Cambria Math" w:eastAsia="Microsoft JhengHei" w:hAnsi="Cambria Math" w:cs="Cambria Math"/>
          <w:color w:val="191919"/>
          <w:sz w:val="24"/>
          <w:szCs w:val="24"/>
          <w:shd w:val="clear" w:color="auto" w:fill="FFFFFF"/>
        </w:rPr>
        <w:t>․</w:t>
      </w:r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մեկը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փոփոխության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հնարավորություն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հիմնադիրների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կողմից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առանց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դատարանի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և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մյուսը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դատական</w:t>
      </w:r>
      <w:proofErr w:type="spellEnd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կարգով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եթե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միաձայնություն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չկա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կամ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իրավական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խոչընդոտներ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</w:t>
      </w:r>
      <w:proofErr w:type="spellEnd"/>
      <w:r w:rsidR="00BB0780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։ </w:t>
      </w:r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ՀՀ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արդարադատության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նախարարի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կողմից</w:t>
      </w:r>
      <w:proofErr w:type="spellEnd"/>
      <w:r w:rsidR="00D925B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20 </w:t>
      </w:r>
      <w:proofErr w:type="spellStart"/>
      <w:r w:rsidR="00D925B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հոկտեմբերի</w:t>
      </w:r>
      <w:proofErr w:type="spellEnd"/>
      <w:r w:rsidR="00D925B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2021 թ.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տրված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r w:rsidR="00D925BF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N1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պաշտոնական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պարզաբանման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համաձայն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՝ «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Հիմնադրամների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մասին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»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15-րդ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հոդվածի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4-րդ և 5-րդ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մասերի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մեկնաբանությունից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բխում</w:t>
      </w:r>
      <w:proofErr w:type="spellEnd"/>
      <w:r w:rsidR="00505DE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է, </w:t>
      </w:r>
      <w:proofErr w:type="spellStart"/>
      <w:r w:rsidR="00505DE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</w:t>
      </w:r>
      <w:proofErr w:type="spellEnd"/>
      <w:r w:rsidR="00505DE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Օրենքի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15-րդ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հոդվածի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4-րդ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մասը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</w:t>
      </w:r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իմնադիրներին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վերապահում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իրավունք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միաձայն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որոշմամբ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առանց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դատարանի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միջամտության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</w:t>
      </w:r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ջ</w:t>
      </w:r>
      <w:proofErr w:type="spellEnd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կատարելու</w:t>
      </w:r>
      <w:proofErr w:type="spellEnd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ցանկացած</w:t>
      </w:r>
      <w:proofErr w:type="spellEnd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փոփոխություն</w:t>
      </w:r>
      <w:proofErr w:type="spellEnd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,</w:t>
      </w:r>
      <w:r w:rsidR="00223642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այդ</w:t>
      </w:r>
      <w:proofErr w:type="spellEnd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թվում</w:t>
      </w:r>
      <w:proofErr w:type="spellEnd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՝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հիմնադրամի</w:t>
      </w:r>
      <w:proofErr w:type="spellEnd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նպատակներին</w:t>
      </w:r>
      <w:proofErr w:type="spellEnd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և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շահառ</w:t>
      </w:r>
      <w:proofErr w:type="spellEnd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ուներին</w:t>
      </w:r>
      <w:proofErr w:type="spellEnd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4A68" w:rsidRPr="000671A3">
        <w:rPr>
          <w:rFonts w:ascii="GHEA Grapalat" w:hAnsi="GHEA Grapalat" w:cs="Sylfaen"/>
          <w:b/>
          <w:bCs/>
          <w:color w:val="191919"/>
          <w:sz w:val="24"/>
          <w:szCs w:val="24"/>
          <w:u w:val="single"/>
          <w:shd w:val="clear" w:color="auto" w:fill="FFFFFF"/>
        </w:rPr>
        <w:t>վերաբերող</w:t>
      </w:r>
      <w:proofErr w:type="spellEnd"/>
      <w:r w:rsidR="005E4A68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։ 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Այս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իրավունքը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բխում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ինքնին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օրենքից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ուստի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կանոնադրությամբ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հատուկ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դրույթ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նախատեսված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լինելը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պարտադիր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չէ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Հիմնադիրներ</w:t>
      </w:r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</w:t>
      </w:r>
      <w:proofErr w:type="spellEnd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</w:t>
      </w:r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յս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իրավասությունն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ավելի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լայն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է,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քան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հոգաբարձուների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խորհրդինը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որը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նման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փոփոխություններ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չի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կարող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կատարել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՝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նույնիսկ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եթե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կանոնադրությամբ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նման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լիազորություն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տրված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լինի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Նման</w:t>
      </w:r>
      <w:proofErr w:type="spellEnd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մեկնաբանությունը</w:t>
      </w:r>
      <w:proofErr w:type="spellEnd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բխում</w:t>
      </w:r>
      <w:proofErr w:type="spellEnd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 </w:t>
      </w:r>
      <w:proofErr w:type="spellStart"/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</w:t>
      </w:r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իմնադիրների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գերակայությ</w:t>
      </w:r>
      <w:r w:rsidR="00FA585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ան</w:t>
      </w:r>
      <w:proofErr w:type="spellEnd"/>
      <w:r w:rsidR="00FA585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FA585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սկզբունքից</w:t>
      </w:r>
      <w:proofErr w:type="spellEnd"/>
      <w:r w:rsidR="00FA585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FA585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ք</w:t>
      </w:r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անի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որ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հիմնադիրներն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հաստատում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հիմնադրամի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ստեղծումն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ու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կանոնադրությունը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միաձայն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որոշմամբ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այդ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նույն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տրամաբանությամբ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նրանք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կարող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են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փոփոխություններ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կատարել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նույն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կանոնադրության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մեջ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Նրանց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այս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իրավունքը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չի</w:t>
      </w:r>
      <w:proofErr w:type="spellEnd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b/>
          <w:bCs/>
          <w:color w:val="191919"/>
          <w:sz w:val="24"/>
          <w:szCs w:val="24"/>
          <w:shd w:val="clear" w:color="auto" w:fill="FFFFFF"/>
        </w:rPr>
        <w:t>կախված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,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թե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կանոնադրությամբ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այն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նախատեսված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է,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թե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  <w:proofErr w:type="spellStart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ոչ</w:t>
      </w:r>
      <w:proofErr w:type="spellEnd"/>
      <w:r w:rsidR="00415E3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։</w:t>
      </w:r>
      <w:r w:rsidR="00FA585C" w:rsidRPr="000671A3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 xml:space="preserve"> </w:t>
      </w:r>
    </w:p>
    <w:p w14:paraId="460772ED" w14:textId="77777777" w:rsidR="00BC0E43" w:rsidRPr="000671A3" w:rsidRDefault="00BC0E43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z w:val="24"/>
          <w:szCs w:val="24"/>
          <w:shd w:val="clear" w:color="auto" w:fill="FFFFFF"/>
          <w:lang w:val="hy-AM"/>
        </w:rPr>
      </w:pPr>
    </w:p>
    <w:p w14:paraId="3E0614E7" w14:textId="77777777" w:rsidR="00C577D3" w:rsidRPr="000671A3" w:rsidRDefault="00084EC9" w:rsidP="000671A3">
      <w:pPr>
        <w:pStyle w:val="NormalWeb"/>
        <w:numPr>
          <w:ilvl w:val="0"/>
          <w:numId w:val="1"/>
        </w:numPr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671A3">
        <w:rPr>
          <w:rFonts w:ascii="GHEA Grapalat" w:hAnsi="GHEA Grapalat"/>
          <w:b/>
          <w:bCs/>
          <w:color w:val="000000"/>
          <w:lang w:val="hy-AM"/>
        </w:rPr>
        <w:t xml:space="preserve">Կարգավորման հարաբերությունների ներկա վիճակը </w:t>
      </w:r>
      <w:r w:rsidR="001D4508" w:rsidRPr="000671A3">
        <w:rPr>
          <w:rFonts w:ascii="GHEA Grapalat" w:hAnsi="GHEA Grapalat"/>
          <w:b/>
          <w:bCs/>
          <w:color w:val="000000"/>
          <w:lang w:val="hy-AM"/>
        </w:rPr>
        <w:t>և</w:t>
      </w:r>
      <w:r w:rsidRPr="000671A3">
        <w:rPr>
          <w:rFonts w:ascii="GHEA Grapalat" w:hAnsi="GHEA Grapalat"/>
          <w:b/>
          <w:bCs/>
          <w:color w:val="000000"/>
          <w:lang w:val="hy-AM"/>
        </w:rPr>
        <w:t xml:space="preserve"> առկա խնդիրներն ու առաջարկվող լուծումները</w:t>
      </w:r>
    </w:p>
    <w:p w14:paraId="2048CDEC" w14:textId="77777777" w:rsidR="00C577D3" w:rsidRPr="000671A3" w:rsidRDefault="00C577D3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11792C77" w14:textId="078F09A2" w:rsidR="00C600CA" w:rsidRPr="000671A3" w:rsidRDefault="00C577D3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0671A3">
        <w:rPr>
          <w:rFonts w:ascii="GHEA Grapalat" w:hAnsi="GHEA Grapalat"/>
          <w:color w:val="000000"/>
          <w:lang w:val="hy-AM"/>
        </w:rPr>
        <w:t>Նախագծով նախատեսված ն</w:t>
      </w:r>
      <w:r w:rsidR="005C6254" w:rsidRPr="000671A3">
        <w:rPr>
          <w:rFonts w:ascii="GHEA Grapalat" w:eastAsia="Calibri" w:hAnsi="GHEA Grapalat"/>
          <w:lang w:val="hy-AM" w:eastAsia="x-none"/>
        </w:rPr>
        <w:t xml:space="preserve">որ </w:t>
      </w:r>
      <w:r w:rsidR="001448B6" w:rsidRPr="000671A3">
        <w:rPr>
          <w:rFonts w:ascii="GHEA Grapalat" w:eastAsia="Calibri" w:hAnsi="GHEA Grapalat"/>
          <w:lang w:val="hy-AM" w:eastAsia="x-none"/>
        </w:rPr>
        <w:t>խմբագրությամբ կանոնադրությունը ՄԿՈՒԶԱԿ-ին վերապահում է հետևյալ առաքելություն</w:t>
      </w:r>
      <w:r w:rsidR="00E4262F" w:rsidRPr="000671A3">
        <w:rPr>
          <w:rFonts w:ascii="GHEA Grapalat" w:eastAsia="Microsoft JhengHei" w:hAnsi="GHEA Grapalat" w:cs="Microsoft JhengHei"/>
          <w:lang w:val="hy-AM" w:eastAsia="x-none"/>
        </w:rPr>
        <w:t>ը, աջակցել</w:t>
      </w:r>
      <w:r w:rsidR="00E4262F" w:rsidRPr="000671A3">
        <w:rPr>
          <w:rFonts w:ascii="GHEA Grapalat" w:eastAsia="Microsoft YaHei" w:hAnsi="GHEA Grapalat" w:cs="Microsoft YaHei"/>
          <w:lang w:val="hy-AM" w:eastAsia="x-none"/>
        </w:rPr>
        <w:t>՝</w:t>
      </w:r>
      <w:r w:rsidR="001448B6" w:rsidRPr="000671A3">
        <w:rPr>
          <w:rFonts w:ascii="GHEA Grapalat" w:eastAsia="Microsoft JhengHei" w:hAnsi="GHEA Grapalat" w:cs="Microsoft JhengHei"/>
          <w:lang w:val="hy-AM" w:eastAsia="x-none"/>
        </w:rPr>
        <w:t xml:space="preserve"> </w:t>
      </w:r>
    </w:p>
    <w:p w14:paraId="70AB9227" w14:textId="77777777" w:rsidR="00C600CA" w:rsidRPr="000671A3" w:rsidRDefault="00C600CA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1)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ab/>
        <w:t>Հայաստանի Հանրապետությունում ֆորմալ, ոչ ֆորմալ և ինֆորմալ կրթության և ուսուցման ոլորտում արդյունավետ քաղաքականության մշակմանը ու կիրառմանը, նորարությունների ներդրմանը և շարունակական զարգացմանը</w:t>
      </w:r>
      <w:r w:rsidRPr="000671A3">
        <w:rPr>
          <w:rFonts w:ascii="Cambria Math" w:eastAsia="Microsoft JhengHei" w:hAnsi="Cambria Math" w:cs="Cambria Math"/>
          <w:sz w:val="24"/>
          <w:szCs w:val="24"/>
          <w:lang w:val="hy-AM" w:eastAsia="x-none"/>
        </w:rPr>
        <w:t>․</w:t>
      </w:r>
    </w:p>
    <w:p w14:paraId="0112DE37" w14:textId="77777777" w:rsidR="00C600CA" w:rsidRPr="000671A3" w:rsidRDefault="00C600CA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2)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ab/>
        <w:t>աշխատաշուկայի ներկայի և ապագայի կարիքներին միտված որակավորումների ոլորտային շրջանակի ներդրմանը.</w:t>
      </w:r>
    </w:p>
    <w:p w14:paraId="4BE39F66" w14:textId="77777777" w:rsidR="00C600CA" w:rsidRPr="000671A3" w:rsidRDefault="00C600CA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3)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ab/>
        <w:t>ֆորմալ, ոչ ֆորմալ և ինֆորմալ կրթության համակարգի համաչափ գործարկմանն ու արդյունքների ճանաչման պետական երաշխիքի ապահովմանը.</w:t>
      </w:r>
    </w:p>
    <w:p w14:paraId="7666E777" w14:textId="13382851" w:rsidR="00C600CA" w:rsidRPr="000671A3" w:rsidRDefault="00C600CA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4)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ab/>
        <w:t xml:space="preserve">մասնագիտական կրթության և ուսուցման (այսուհետ՝ ՄԿՈՒ) ոլորտում պետություն–մասնավոր հատված համագործակցության արդյունավետ կառուցակարգերի  </w:t>
      </w:r>
      <w:r w:rsidR="00E412E3" w:rsidRPr="000671A3">
        <w:rPr>
          <w:rFonts w:ascii="GHEA Grapalat" w:eastAsia="Calibri" w:hAnsi="GHEA Grapalat"/>
          <w:sz w:val="24"/>
          <w:szCs w:val="24"/>
          <w:lang w:val="hy-AM" w:eastAsia="x-none"/>
        </w:rPr>
        <w:t>ներդրմանը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.  </w:t>
      </w:r>
    </w:p>
    <w:p w14:paraId="64CABC9C" w14:textId="77777777" w:rsidR="00C600CA" w:rsidRPr="000671A3" w:rsidRDefault="00C600CA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5)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ab/>
        <w:t>մասնագիտական կողմնորոշման և կարիերայի զարգացման համակարգի ձևավորմանն ու արդյունավետ գործունեությանը</w:t>
      </w:r>
      <w:r w:rsidRPr="000671A3">
        <w:rPr>
          <w:rFonts w:ascii="Cambria Math" w:eastAsia="Microsoft JhengHei" w:hAnsi="Cambria Math" w:cs="Cambria Math"/>
          <w:sz w:val="24"/>
          <w:szCs w:val="24"/>
          <w:lang w:val="hy-AM" w:eastAsia="x-none"/>
        </w:rPr>
        <w:t>․</w:t>
      </w:r>
    </w:p>
    <w:p w14:paraId="2FDBCA85" w14:textId="50B29A97" w:rsidR="00C600CA" w:rsidRPr="000671A3" w:rsidRDefault="00C600CA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6)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ab/>
        <w:t>ՄԿՈՒ համակարգի կայուն զարգացմանը, կառավարման արդյունավետության բարձրացմանը և միջազգային համադրմանը։</w:t>
      </w:r>
    </w:p>
    <w:p w14:paraId="40A4B1B0" w14:textId="77777777" w:rsidR="00C577D3" w:rsidRPr="000671A3" w:rsidRDefault="00E412E3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Հետագա</w:t>
      </w:r>
      <w:r w:rsidR="00E4262F"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 շարադրանքում կանոնադրությունը 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մանրամասնում</w:t>
      </w:r>
      <w:r w:rsidR="00E4262F"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 է 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Հիմնադրամի</w:t>
      </w:r>
      <w:r w:rsidR="00E4262F"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 գործառույթները (կետ </w:t>
      </w:r>
      <w:r w:rsidR="00700D67" w:rsidRPr="000671A3">
        <w:rPr>
          <w:rFonts w:ascii="GHEA Grapalat" w:eastAsia="Calibri" w:hAnsi="GHEA Grapalat"/>
          <w:sz w:val="24"/>
          <w:szCs w:val="24"/>
          <w:lang w:val="hy-AM" w:eastAsia="x-none"/>
        </w:rPr>
        <w:t>14</w:t>
      </w:r>
      <w:r w:rsidR="00E4262F" w:rsidRPr="000671A3">
        <w:rPr>
          <w:rFonts w:ascii="GHEA Grapalat" w:eastAsia="Calibri" w:hAnsi="GHEA Grapalat"/>
          <w:sz w:val="24"/>
          <w:szCs w:val="24"/>
          <w:lang w:val="hy-AM" w:eastAsia="x-none"/>
        </w:rPr>
        <w:t>)</w:t>
      </w:r>
      <w:r w:rsidR="00700D67"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։ </w:t>
      </w:r>
    </w:p>
    <w:p w14:paraId="09050387" w14:textId="01309A86" w:rsidR="00C3644E" w:rsidRPr="000671A3" w:rsidRDefault="00C3644E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hAnsi="GHEA Grapalat" w:cs="Arial"/>
          <w:sz w:val="24"/>
          <w:szCs w:val="24"/>
          <w:lang w:val="hy-AM"/>
        </w:rPr>
        <w:t>ՄԿՈւ նոր օրենքի անկյունաքարն է պետություն և մասնավոր հատված համագործակցության ուժեղացումը՝ ներառելով մասնավոր հատվածի համակարգված, երկարաժամկետ ներգրավվածությունը կրթական ծրագրերի մշակման և իրականացման, ՄՈՒՀ-երի կառավարման, ֆինանսավորման և գնահատման գործընթացներում։</w:t>
      </w:r>
    </w:p>
    <w:p w14:paraId="6ECBEB8E" w14:textId="0C6A64B4" w:rsidR="00EF7D01" w:rsidRPr="000671A3" w:rsidRDefault="00135AD1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Նոր կանոնադրությամբ ՄԿՈՒԶԱԿ-ի կառավարման կառուցվածքը լիովին համապատասխանում է այդ մոտեցմանը</w:t>
      </w:r>
      <w:r w:rsidR="00F7223E"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՝ ապահովելով 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Մ</w:t>
      </w:r>
      <w:r w:rsidR="00EF7D01" w:rsidRPr="000671A3">
        <w:rPr>
          <w:rFonts w:ascii="GHEA Grapalat" w:eastAsia="Calibri" w:hAnsi="GHEA Grapalat"/>
          <w:sz w:val="24"/>
          <w:szCs w:val="24"/>
          <w:lang w:val="hy-AM" w:eastAsia="x-none"/>
        </w:rPr>
        <w:t>ԿՈՒ համակարգում պետական քաղաքականության ձևավորման և իրագործման համատեղությ</w:t>
      </w:r>
      <w:r w:rsidR="00F7223E" w:rsidRPr="000671A3">
        <w:rPr>
          <w:rFonts w:ascii="GHEA Grapalat" w:eastAsia="Calibri" w:hAnsi="GHEA Grapalat"/>
          <w:sz w:val="24"/>
          <w:szCs w:val="24"/>
          <w:lang w:val="hy-AM" w:eastAsia="x-none"/>
        </w:rPr>
        <w:t>ու</w:t>
      </w:r>
      <w:r w:rsidR="00EF7D01"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ն՝ պետական կառավարման </w:t>
      </w:r>
      <w:r w:rsidR="00EF7D01" w:rsidRPr="000671A3">
        <w:rPr>
          <w:rFonts w:ascii="GHEA Grapalat" w:eastAsia="Calibri" w:hAnsi="GHEA Grapalat"/>
          <w:sz w:val="24"/>
          <w:szCs w:val="24"/>
          <w:lang w:val="hy-AM" w:eastAsia="x-none"/>
        </w:rPr>
        <w:lastRenderedPageBreak/>
        <w:t>մարմինների, մասնավոր հատվածի և սոցիալական գործընկերների միջև՝ որպես երկարաժամկետ համագործակցության առանցքային սկզբունք։</w:t>
      </w:r>
    </w:p>
    <w:p w14:paraId="12B48D75" w14:textId="1BCD562D" w:rsidR="00EF7D01" w:rsidRPr="000671A3" w:rsidRDefault="00EF7D01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Հիմնադրամի բարձրագույն մարմինը՝ </w:t>
      </w:r>
      <w:r w:rsidRPr="000671A3">
        <w:rPr>
          <w:rFonts w:ascii="GHEA Grapalat" w:eastAsia="Calibri" w:hAnsi="GHEA Grapalat"/>
          <w:b/>
          <w:bCs/>
          <w:sz w:val="24"/>
          <w:szCs w:val="24"/>
          <w:lang w:val="hy-AM" w:eastAsia="x-none"/>
        </w:rPr>
        <w:t>Հոգաբարձուների խորհուրդը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 xml:space="preserve">, ձևավորվում է համախմբված սկզբունքով՝ ընդգրկելով </w:t>
      </w:r>
      <w:r w:rsidRPr="000671A3">
        <w:rPr>
          <w:rFonts w:ascii="GHEA Grapalat" w:eastAsia="Calibri" w:hAnsi="GHEA Grapalat"/>
          <w:b/>
          <w:bCs/>
          <w:sz w:val="24"/>
          <w:szCs w:val="24"/>
          <w:lang w:val="hy-AM" w:eastAsia="x-none"/>
        </w:rPr>
        <w:t>12 անդամ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, որոնցից</w:t>
      </w:r>
      <w:r w:rsidR="00F7223E" w:rsidRPr="000671A3">
        <w:rPr>
          <w:rFonts w:ascii="Cambria Math" w:eastAsia="Microsoft JhengHei" w:hAnsi="Cambria Math" w:cs="Cambria Math"/>
          <w:sz w:val="24"/>
          <w:szCs w:val="24"/>
          <w:lang w:val="hy-AM" w:eastAsia="x-none"/>
        </w:rPr>
        <w:t>․</w:t>
      </w:r>
    </w:p>
    <w:p w14:paraId="33A370EF" w14:textId="77777777" w:rsidR="00EF7D01" w:rsidRPr="000671A3" w:rsidRDefault="00EF7D01" w:rsidP="000671A3">
      <w:pPr>
        <w:pStyle w:val="ListParagraph"/>
        <w:numPr>
          <w:ilvl w:val="0"/>
          <w:numId w:val="24"/>
        </w:numPr>
        <w:shd w:val="clear" w:color="auto" w:fill="FFFFFF"/>
        <w:tabs>
          <w:tab w:val="clear" w:pos="720"/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b/>
          <w:bCs/>
          <w:sz w:val="24"/>
          <w:szCs w:val="24"/>
          <w:lang w:val="hy-AM" w:eastAsia="x-none"/>
        </w:rPr>
        <w:t>6-ը պետական կառավարման համակարգի մարմինների ներկայացուցիչներ են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,</w:t>
      </w:r>
    </w:p>
    <w:p w14:paraId="203059D7" w14:textId="77777777" w:rsidR="00EF7D01" w:rsidRPr="000671A3" w:rsidRDefault="00EF7D01" w:rsidP="000671A3">
      <w:pPr>
        <w:pStyle w:val="ListParagraph"/>
        <w:numPr>
          <w:ilvl w:val="0"/>
          <w:numId w:val="24"/>
        </w:numPr>
        <w:shd w:val="clear" w:color="auto" w:fill="FFFFFF"/>
        <w:tabs>
          <w:tab w:val="clear" w:pos="720"/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b/>
          <w:bCs/>
          <w:sz w:val="24"/>
          <w:szCs w:val="24"/>
          <w:lang w:val="hy-AM" w:eastAsia="x-none"/>
        </w:rPr>
        <w:t>6-ը մասնավոր հատվածի և աշխատողների միությունների ներկայացուցիչներ են</w:t>
      </w: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։</w:t>
      </w:r>
    </w:p>
    <w:p w14:paraId="79F35ED9" w14:textId="77777777" w:rsidR="00EF7D01" w:rsidRPr="000671A3" w:rsidRDefault="00EF7D01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Այս ձևաչափը ապահովում է պետություն-մասնավոր-սոցիալական գործընկերության գործնական իրագործում՝ համատեղ որոշումների կայացման մակարդակում։</w:t>
      </w:r>
    </w:p>
    <w:p w14:paraId="2DA5382C" w14:textId="77777777" w:rsidR="00EF7D01" w:rsidRPr="000671A3" w:rsidRDefault="00EF7D01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Պետական ներկայացուցիչները սահմանված են ոլորտային պատասխանատվության սկզբունքով և ընտրվում են փոխնախարարի մակարդակով՝ ներառելով հետևյալ հիմնական ուղղությունները՝</w:t>
      </w:r>
    </w:p>
    <w:p w14:paraId="3668B033" w14:textId="77777777" w:rsidR="00EF7D01" w:rsidRPr="000671A3" w:rsidRDefault="00EF7D01" w:rsidP="000671A3">
      <w:pPr>
        <w:pStyle w:val="ListParagraph"/>
        <w:numPr>
          <w:ilvl w:val="0"/>
          <w:numId w:val="25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կրթություն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693C618D" w14:textId="77777777" w:rsidR="00EF7D01" w:rsidRPr="000671A3" w:rsidRDefault="00EF7D01" w:rsidP="000671A3">
      <w:pPr>
        <w:pStyle w:val="ListParagraph"/>
        <w:numPr>
          <w:ilvl w:val="0"/>
          <w:numId w:val="25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աշխատանքային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շուկա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սոցիալական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պաշտպանություն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4C7753EF" w14:textId="77777777" w:rsidR="00EF7D01" w:rsidRPr="000671A3" w:rsidRDefault="00EF7D01" w:rsidP="000671A3">
      <w:pPr>
        <w:pStyle w:val="ListParagraph"/>
        <w:numPr>
          <w:ilvl w:val="0"/>
          <w:numId w:val="25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տարածքային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զարգացում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18DBDF61" w14:textId="77777777" w:rsidR="00EF7D01" w:rsidRPr="000671A3" w:rsidRDefault="00EF7D01" w:rsidP="000671A3">
      <w:pPr>
        <w:pStyle w:val="ListParagraph"/>
        <w:numPr>
          <w:ilvl w:val="0"/>
          <w:numId w:val="25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տնտեսություն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գյուղատնտեսություն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461540C3" w14:textId="77777777" w:rsidR="00EF7D01" w:rsidRPr="000671A3" w:rsidRDefault="00EF7D01" w:rsidP="000671A3">
      <w:pPr>
        <w:pStyle w:val="ListParagraph"/>
        <w:numPr>
          <w:ilvl w:val="0"/>
          <w:numId w:val="25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բարձր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տեխնոլոգիաներ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38625F58" w14:textId="77777777" w:rsidR="00EF7D01" w:rsidRPr="000671A3" w:rsidRDefault="00EF7D01" w:rsidP="000671A3">
      <w:pPr>
        <w:pStyle w:val="ListParagraph"/>
        <w:numPr>
          <w:ilvl w:val="0"/>
          <w:numId w:val="25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ֆինանսներ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։</w:t>
      </w:r>
    </w:p>
    <w:p w14:paraId="30F07907" w14:textId="22443BC5" w:rsidR="00EF7D01" w:rsidRPr="000671A3" w:rsidRDefault="00EF7D01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Այս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կառուցվածքը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ապահովում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է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քաղաքական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ուղղորդում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համա</w:t>
      </w:r>
      <w:r w:rsidR="00F7223E" w:rsidRPr="000671A3">
        <w:rPr>
          <w:rFonts w:ascii="GHEA Grapalat" w:eastAsia="Calibri" w:hAnsi="GHEA Grapalat"/>
          <w:sz w:val="24"/>
          <w:szCs w:val="24"/>
          <w:lang w:eastAsia="x-none"/>
        </w:rPr>
        <w:t>կարգված</w:t>
      </w:r>
      <w:proofErr w:type="spellEnd"/>
      <w:r w:rsidR="00F7223E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պետական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քաղաքականություն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՝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ոլորտային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412E3" w:rsidRPr="000671A3">
        <w:rPr>
          <w:rFonts w:ascii="GHEA Grapalat" w:eastAsia="Calibri" w:hAnsi="GHEA Grapalat"/>
          <w:sz w:val="24"/>
          <w:szCs w:val="24"/>
          <w:lang w:eastAsia="x-none"/>
        </w:rPr>
        <w:t>ներկայացվածությամբ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։</w:t>
      </w:r>
    </w:p>
    <w:p w14:paraId="14CBFE1E" w14:textId="4EA678B5" w:rsidR="00EF7D01" w:rsidRPr="000671A3" w:rsidRDefault="00EF7D01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Խորհրդում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ներկայացված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են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ոչ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միայն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գործատուների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ներկայացուցիչները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այլև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>Հայաստանի</w:t>
      </w:r>
      <w:proofErr w:type="spellEnd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>արհմիությունների</w:t>
      </w:r>
      <w:proofErr w:type="spellEnd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>կոնֆեդերացիայի</w:t>
      </w:r>
      <w:proofErr w:type="spellEnd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>առաջադրած</w:t>
      </w:r>
      <w:proofErr w:type="spellEnd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>մեկ</w:t>
      </w:r>
      <w:proofErr w:type="spellEnd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b/>
          <w:bCs/>
          <w:sz w:val="24"/>
          <w:szCs w:val="24"/>
          <w:lang w:eastAsia="x-none"/>
        </w:rPr>
        <w:t>ներկայացուցիչ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որը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նաև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Խորհրդի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փոխնախագահներից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մեկն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է։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Սա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ապահովում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է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ուսանողների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աշխատողների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համայնքի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շահերի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ներկայացվածություն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քաղաքական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որոշումների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կայացման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ժամանակ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։</w:t>
      </w:r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>Խորհրդի</w:t>
      </w:r>
      <w:proofErr w:type="spellEnd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>մյուս</w:t>
      </w:r>
      <w:proofErr w:type="spellEnd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>փոխնախագահը</w:t>
      </w:r>
      <w:proofErr w:type="spellEnd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>մասնավոր</w:t>
      </w:r>
      <w:proofErr w:type="spellEnd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>հատվածի</w:t>
      </w:r>
      <w:proofErr w:type="spellEnd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>ներկայացուցիչներից</w:t>
      </w:r>
      <w:proofErr w:type="spellEnd"/>
      <w:r w:rsidR="00C577D3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է։ </w:t>
      </w:r>
    </w:p>
    <w:p w14:paraId="13DDCFD6" w14:textId="14E31868" w:rsidR="00EF7D01" w:rsidRPr="000671A3" w:rsidRDefault="005B041E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Ա</w:t>
      </w:r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պահովել</w:t>
      </w:r>
      <w:r w:rsidRPr="000671A3">
        <w:rPr>
          <w:rFonts w:ascii="GHEA Grapalat" w:eastAsia="Calibri" w:hAnsi="GHEA Grapalat"/>
          <w:sz w:val="24"/>
          <w:szCs w:val="24"/>
          <w:lang w:eastAsia="x-none"/>
        </w:rPr>
        <w:t>ու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համար</w:t>
      </w:r>
      <w:proofErr w:type="spellEnd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մասնավոր</w:t>
      </w:r>
      <w:proofErr w:type="spellEnd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հատվածի</w:t>
      </w:r>
      <w:proofErr w:type="spellEnd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բովանդակային</w:t>
      </w:r>
      <w:proofErr w:type="spellEnd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ներգրավվածություն</w:t>
      </w:r>
      <w:proofErr w:type="spellEnd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՝ </w:t>
      </w:r>
      <w:proofErr w:type="spellStart"/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մ</w:t>
      </w:r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ասնավոր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հատվածի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ներկայացուցիչները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ընտրվում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են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թափանցիկ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կառուցվածքային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մեխանիզմով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՝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հիմնվելով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հետևյալ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սկզբունքների</w:t>
      </w:r>
      <w:proofErr w:type="spellEnd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F7D01" w:rsidRPr="000671A3">
        <w:rPr>
          <w:rFonts w:ascii="GHEA Grapalat" w:eastAsia="Calibri" w:hAnsi="GHEA Grapalat"/>
          <w:sz w:val="24"/>
          <w:szCs w:val="24"/>
          <w:lang w:eastAsia="x-none"/>
        </w:rPr>
        <w:t>վրա</w:t>
      </w:r>
      <w:proofErr w:type="spellEnd"/>
      <w:r w:rsidR="00EF7D01" w:rsidRPr="000671A3">
        <w:rPr>
          <w:rFonts w:ascii="Cambria Math" w:eastAsia="Microsoft JhengHei" w:hAnsi="Cambria Math" w:cs="Cambria Math"/>
          <w:sz w:val="24"/>
          <w:szCs w:val="24"/>
          <w:lang w:eastAsia="x-none"/>
        </w:rPr>
        <w:t>․</w:t>
      </w:r>
    </w:p>
    <w:p w14:paraId="3F7B0781" w14:textId="77777777" w:rsidR="00EF7D01" w:rsidRPr="000671A3" w:rsidRDefault="00EF7D01" w:rsidP="000671A3">
      <w:pPr>
        <w:pStyle w:val="ListParagraph"/>
        <w:numPr>
          <w:ilvl w:val="0"/>
          <w:numId w:val="26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ներկայացվածություն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տնտեսության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հիմնական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ճյուղերից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6DDBB3A1" w14:textId="4215AAB3" w:rsidR="00EF7D01" w:rsidRPr="000671A3" w:rsidRDefault="00EF7D01" w:rsidP="000671A3">
      <w:pPr>
        <w:pStyle w:val="ListParagraph"/>
        <w:numPr>
          <w:ilvl w:val="0"/>
          <w:numId w:val="26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lastRenderedPageBreak/>
        <w:t>ներգրավվածություն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r w:rsidR="009E6B97" w:rsidRPr="000671A3">
        <w:rPr>
          <w:rFonts w:ascii="GHEA Grapalat" w:eastAsia="Calibri" w:hAnsi="GHEA Grapalat"/>
          <w:sz w:val="24"/>
          <w:szCs w:val="24"/>
          <w:lang w:eastAsia="x-none"/>
        </w:rPr>
        <w:t>Մ</w:t>
      </w:r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ԿՈՒ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ոլորտում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վերջին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տարիներին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20872A8A" w14:textId="0E8D43B3" w:rsidR="00EF7D01" w:rsidRPr="000671A3" w:rsidRDefault="00EF7D01" w:rsidP="000671A3">
      <w:pPr>
        <w:pStyle w:val="ListParagraph"/>
        <w:numPr>
          <w:ilvl w:val="0"/>
          <w:numId w:val="26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ինստիտուցիոնալ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կարողություն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="005B041E" w:rsidRPr="000671A3">
        <w:rPr>
          <w:rFonts w:ascii="GHEA Grapalat" w:eastAsia="Calibri" w:hAnsi="GHEA Grapalat"/>
          <w:sz w:val="24"/>
          <w:szCs w:val="24"/>
          <w:lang w:eastAsia="x-none"/>
        </w:rPr>
        <w:t>լավ</w:t>
      </w:r>
      <w:proofErr w:type="spellEnd"/>
      <w:r w:rsidR="005B041E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կառավարում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7C77BE21" w14:textId="77777777" w:rsidR="00EF7D01" w:rsidRPr="000671A3" w:rsidRDefault="00EF7D01" w:rsidP="000671A3">
      <w:pPr>
        <w:pStyle w:val="ListParagraph"/>
        <w:numPr>
          <w:ilvl w:val="0"/>
          <w:numId w:val="26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տարածքային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ճյուղային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հավասարակշռություն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18C5FB91" w14:textId="77777777" w:rsidR="00EF7D01" w:rsidRPr="000671A3" w:rsidRDefault="00EF7D01" w:rsidP="000671A3">
      <w:pPr>
        <w:pStyle w:val="ListParagraph"/>
        <w:numPr>
          <w:ilvl w:val="0"/>
          <w:numId w:val="26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proofErr w:type="gram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նորարարության</w:t>
      </w:r>
      <w:proofErr w:type="spellEnd"/>
      <w:proofErr w:type="gram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ներառականության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հմտությունների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զարգացման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ոլորտում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ներդրում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>։</w:t>
      </w:r>
    </w:p>
    <w:p w14:paraId="535EBA36" w14:textId="77777777" w:rsidR="004D1A0A" w:rsidRPr="000671A3" w:rsidRDefault="004D1A0A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color w:val="000000"/>
          <w:lang w:val="hy-AM"/>
        </w:rPr>
      </w:pPr>
    </w:p>
    <w:p w14:paraId="22E04B46" w14:textId="524FD910" w:rsidR="00F102DF" w:rsidRPr="000671A3" w:rsidRDefault="003F1EA6" w:rsidP="000671A3">
      <w:pPr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671A3">
        <w:rPr>
          <w:rFonts w:ascii="GHEA Grapalat" w:hAnsi="GHEA Grapalat"/>
          <w:b/>
          <w:sz w:val="24"/>
          <w:szCs w:val="24"/>
          <w:lang w:val="pt-BR"/>
        </w:rPr>
        <w:t>3</w:t>
      </w:r>
      <w:r w:rsidR="00F102DF" w:rsidRPr="000671A3">
        <w:rPr>
          <w:rFonts w:ascii="GHEA Grapalat" w:hAnsi="GHEA Grapalat"/>
          <w:b/>
          <w:sz w:val="24"/>
          <w:szCs w:val="24"/>
          <w:lang w:val="pt-BR"/>
        </w:rPr>
        <w:t>.</w:t>
      </w:r>
      <w:r w:rsidR="00F102DF" w:rsidRPr="000671A3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="00F102DF" w:rsidRPr="000671A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102DF" w:rsidRPr="000671A3">
        <w:rPr>
          <w:rFonts w:ascii="GHEA Grapalat" w:hAnsi="GHEA Grapalat"/>
          <w:b/>
          <w:sz w:val="24"/>
          <w:szCs w:val="24"/>
          <w:lang w:val="hy-AM"/>
        </w:rPr>
        <w:t>արդյունքը</w:t>
      </w:r>
    </w:p>
    <w:p w14:paraId="24C9D722" w14:textId="40D6F993" w:rsidR="003F1EA6" w:rsidRPr="000671A3" w:rsidRDefault="00A015A9" w:rsidP="000671A3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0671A3">
        <w:rPr>
          <w:rFonts w:ascii="GHEA Grapalat" w:eastAsia="Calibri" w:hAnsi="GHEA Grapalat"/>
          <w:sz w:val="24"/>
          <w:szCs w:val="24"/>
          <w:lang w:val="hy-AM" w:eastAsia="x-none"/>
        </w:rPr>
        <w:t>Նախագծով առաջարկվող փոփոխություններով՝</w:t>
      </w:r>
    </w:p>
    <w:p w14:paraId="742BB948" w14:textId="4EE1971B" w:rsidR="006B2736" w:rsidRPr="000671A3" w:rsidRDefault="00BC7258" w:rsidP="000671A3">
      <w:pPr>
        <w:pStyle w:val="ListParagraph"/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կվերանա</w:t>
      </w:r>
      <w:proofErr w:type="spellEnd"/>
      <w:r w:rsidR="006B273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E412E3" w:rsidRPr="000671A3">
        <w:rPr>
          <w:rFonts w:ascii="GHEA Grapalat" w:eastAsia="Calibri" w:hAnsi="GHEA Grapalat"/>
          <w:sz w:val="24"/>
          <w:szCs w:val="24"/>
          <w:lang w:eastAsia="x-none"/>
        </w:rPr>
        <w:t>գործառույթների</w:t>
      </w:r>
      <w:proofErr w:type="spellEnd"/>
      <w:r w:rsidR="006B273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6B2736" w:rsidRPr="000671A3">
        <w:rPr>
          <w:rFonts w:ascii="GHEA Grapalat" w:eastAsia="Calibri" w:hAnsi="GHEA Grapalat"/>
          <w:sz w:val="24"/>
          <w:szCs w:val="24"/>
          <w:lang w:eastAsia="x-none"/>
        </w:rPr>
        <w:t>կրկնօրինակո</w:t>
      </w:r>
      <w:r w:rsidR="00E412E3" w:rsidRPr="000671A3">
        <w:rPr>
          <w:rFonts w:ascii="GHEA Grapalat" w:eastAsia="Calibri" w:hAnsi="GHEA Grapalat"/>
          <w:sz w:val="24"/>
          <w:szCs w:val="24"/>
          <w:lang w:eastAsia="x-none"/>
        </w:rPr>
        <w:t>ւ</w:t>
      </w:r>
      <w:r w:rsidR="006B2736" w:rsidRPr="000671A3">
        <w:rPr>
          <w:rFonts w:ascii="GHEA Grapalat" w:eastAsia="Calibri" w:hAnsi="GHEA Grapalat"/>
          <w:sz w:val="24"/>
          <w:szCs w:val="24"/>
          <w:lang w:eastAsia="x-none"/>
        </w:rPr>
        <w:t>մը</w:t>
      </w:r>
      <w:proofErr w:type="spellEnd"/>
      <w:r w:rsidR="006B273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</w:p>
    <w:p w14:paraId="6E4EEE3E" w14:textId="60B021E7" w:rsidR="003F1EA6" w:rsidRPr="000671A3" w:rsidRDefault="00BC7258" w:rsidP="000671A3">
      <w:pPr>
        <w:pStyle w:val="ListParagraph"/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կապահովվի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համատեղ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քաղաքականություն</w:t>
      </w:r>
      <w:r w:rsidRPr="000671A3">
        <w:rPr>
          <w:rFonts w:ascii="GHEA Grapalat" w:eastAsia="Calibri" w:hAnsi="GHEA Grapalat"/>
          <w:sz w:val="24"/>
          <w:szCs w:val="24"/>
          <w:lang w:eastAsia="x-none"/>
        </w:rPr>
        <w:t>ն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համակարգում</w:t>
      </w:r>
      <w:r w:rsidRPr="000671A3">
        <w:rPr>
          <w:rFonts w:ascii="GHEA Grapalat" w:eastAsia="Calibri" w:hAnsi="GHEA Grapalat"/>
          <w:sz w:val="24"/>
          <w:szCs w:val="24"/>
          <w:lang w:eastAsia="x-none"/>
        </w:rPr>
        <w:t>ը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6516B7E2" w14:textId="4B105DD1" w:rsidR="003F1EA6" w:rsidRPr="000671A3" w:rsidRDefault="00BC7258" w:rsidP="000671A3">
      <w:pPr>
        <w:pStyle w:val="ListParagraph"/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կխթանի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մասնավոր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հատվածի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իրապես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ներգրավված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մասնակցությանը</w:t>
      </w:r>
      <w:proofErr w:type="spellEnd"/>
      <w:r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r w:rsidR="007B1A1E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ՄԿՈՒ </w:t>
      </w:r>
      <w:proofErr w:type="spellStart"/>
      <w:r w:rsidR="007B1A1E" w:rsidRPr="000671A3">
        <w:rPr>
          <w:rFonts w:ascii="GHEA Grapalat" w:eastAsia="Calibri" w:hAnsi="GHEA Grapalat"/>
          <w:sz w:val="24"/>
          <w:szCs w:val="24"/>
          <w:lang w:eastAsia="x-none"/>
        </w:rPr>
        <w:t>քաղաքականության</w:t>
      </w:r>
      <w:proofErr w:type="spellEnd"/>
      <w:r w:rsidR="007B1A1E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7B1A1E" w:rsidRPr="000671A3">
        <w:rPr>
          <w:rFonts w:ascii="GHEA Grapalat" w:eastAsia="Calibri" w:hAnsi="GHEA Grapalat"/>
          <w:sz w:val="24"/>
          <w:szCs w:val="24"/>
          <w:lang w:eastAsia="x-none"/>
        </w:rPr>
        <w:t>իրականցմանը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,</w:t>
      </w:r>
    </w:p>
    <w:p w14:paraId="33994094" w14:textId="57210273" w:rsidR="003F1EA6" w:rsidRDefault="00BC7258" w:rsidP="00BF72B5">
      <w:pPr>
        <w:pStyle w:val="ListParagraph"/>
        <w:numPr>
          <w:ilvl w:val="0"/>
          <w:numId w:val="28"/>
        </w:numPr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  <w:proofErr w:type="spellStart"/>
      <w:proofErr w:type="gramStart"/>
      <w:r w:rsidRPr="000671A3">
        <w:rPr>
          <w:rFonts w:ascii="GHEA Grapalat" w:eastAsia="Calibri" w:hAnsi="GHEA Grapalat"/>
          <w:sz w:val="24"/>
          <w:szCs w:val="24"/>
          <w:lang w:eastAsia="x-none"/>
        </w:rPr>
        <w:t>կհաստատվի</w:t>
      </w:r>
      <w:proofErr w:type="spellEnd"/>
      <w:proofErr w:type="gram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ՄԿՈՒԶԱԿ-ի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որպես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քաղաքական</w:t>
      </w:r>
      <w:proofErr w:type="spellEnd"/>
      <w:r w:rsidR="006B2736" w:rsidRPr="000671A3">
        <w:rPr>
          <w:rFonts w:ascii="GHEA Grapalat" w:eastAsia="Calibri" w:hAnsi="GHEA Grapalat"/>
          <w:sz w:val="24"/>
          <w:szCs w:val="24"/>
          <w:lang w:val="hy-AM" w:eastAsia="x-none"/>
        </w:rPr>
        <w:t>ության իրագործման</w:t>
      </w:r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ինստիտուցիոնալ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կենտրոնի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դերը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՝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ժամանակակից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,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համագործակցային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և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արդյունքահեն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ՄԿՈՒ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համակարգի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զարգացման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 xml:space="preserve"> </w:t>
      </w:r>
      <w:proofErr w:type="spellStart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համար</w:t>
      </w:r>
      <w:proofErr w:type="spellEnd"/>
      <w:r w:rsidR="003F1EA6" w:rsidRPr="000671A3">
        <w:rPr>
          <w:rFonts w:ascii="GHEA Grapalat" w:eastAsia="Calibri" w:hAnsi="GHEA Grapalat"/>
          <w:sz w:val="24"/>
          <w:szCs w:val="24"/>
          <w:lang w:eastAsia="x-none"/>
        </w:rPr>
        <w:t>։</w:t>
      </w:r>
    </w:p>
    <w:p w14:paraId="2867E952" w14:textId="77777777" w:rsidR="00BF72B5" w:rsidRDefault="00BF72B5" w:rsidP="00BF72B5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eastAsia="x-none"/>
        </w:rPr>
      </w:pPr>
    </w:p>
    <w:p w14:paraId="55D73F73" w14:textId="2E723723" w:rsidR="00BF72B5" w:rsidRPr="00BF72B5" w:rsidRDefault="00BF72B5" w:rsidP="00BF72B5">
      <w:pPr>
        <w:pStyle w:val="ListParagraph"/>
        <w:numPr>
          <w:ilvl w:val="1"/>
          <w:numId w:val="28"/>
        </w:numPr>
        <w:tabs>
          <w:tab w:val="left" w:pos="90"/>
        </w:tabs>
        <w:spacing w:after="0" w:line="360" w:lineRule="auto"/>
        <w:ind w:left="-360" w:right="-54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F72B5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</w:t>
      </w:r>
    </w:p>
    <w:p w14:paraId="3DAA061B" w14:textId="77777777" w:rsidR="00BF72B5" w:rsidRDefault="00BF72B5" w:rsidP="00BF72B5">
      <w:pPr>
        <w:tabs>
          <w:tab w:val="left" w:pos="1800"/>
        </w:tabs>
        <w:spacing w:after="0" w:line="360" w:lineRule="auto"/>
        <w:ind w:left="-360" w:right="-540" w:firstLine="54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ՀՀ կառավարության որոշման նախագիծը մշակվել է Հայաստանի Հանրապետության կրթության, գիտության, մշակույթի և սպորտի նախարարության կողմից։</w:t>
      </w:r>
    </w:p>
    <w:p w14:paraId="206B5A1B" w14:textId="77777777" w:rsidR="00642931" w:rsidRPr="00BF72B5" w:rsidRDefault="00642931" w:rsidP="00642931">
      <w:pPr>
        <w:pStyle w:val="ListParagraph"/>
        <w:shd w:val="clear" w:color="auto" w:fill="FFFFFF"/>
        <w:tabs>
          <w:tab w:val="left" w:pos="540"/>
        </w:tabs>
        <w:spacing w:after="0" w:line="360" w:lineRule="auto"/>
        <w:ind w:left="180" w:right="-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</w:p>
    <w:p w14:paraId="393A6547" w14:textId="77777777" w:rsidR="004D1A0A" w:rsidRPr="000671A3" w:rsidRDefault="004D1A0A" w:rsidP="000671A3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 w:line="360" w:lineRule="auto"/>
        <w:ind w:left="-360" w:right="-540" w:firstLine="540"/>
        <w:jc w:val="both"/>
        <w:rPr>
          <w:rFonts w:ascii="GHEA Grapalat" w:hAnsi="GHEA Grapalat"/>
          <w:color w:val="000000"/>
          <w:lang w:val="hy-AM"/>
        </w:rPr>
      </w:pPr>
    </w:p>
    <w:p w14:paraId="3303FD1A" w14:textId="3F64BC8B" w:rsidR="00193BF1" w:rsidRPr="000671A3" w:rsidRDefault="00704A75" w:rsidP="000671A3">
      <w:pPr>
        <w:tabs>
          <w:tab w:val="left" w:pos="540"/>
        </w:tabs>
        <w:spacing w:after="0" w:line="360" w:lineRule="auto"/>
        <w:ind w:left="-360" w:right="-540" w:firstLine="540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</w:t>
      </w:r>
      <w:r w:rsidR="00193BF1" w:rsidRPr="000671A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 Կապը ռազմավարական փաստաթղթերի հետ</w:t>
      </w:r>
    </w:p>
    <w:p w14:paraId="43341C9C" w14:textId="0746869C" w:rsidR="00213973" w:rsidRPr="000671A3" w:rsidRDefault="00212FBB" w:rsidP="000671A3">
      <w:pPr>
        <w:pStyle w:val="NormalWeb"/>
        <w:shd w:val="clear" w:color="auto" w:fill="FFFFFF"/>
        <w:tabs>
          <w:tab w:val="left" w:pos="540"/>
        </w:tabs>
        <w:spacing w:after="0" w:line="360" w:lineRule="auto"/>
        <w:ind w:left="-360" w:right="-540" w:firstLine="540"/>
        <w:jc w:val="both"/>
        <w:rPr>
          <w:rFonts w:ascii="GHEA Grapalat" w:hAnsi="GHEA Grapalat" w:cs="Sylfaen"/>
          <w:color w:val="191919"/>
          <w:shd w:val="clear" w:color="auto" w:fill="FFFFFF"/>
          <w:lang w:val="hy-AM"/>
        </w:rPr>
      </w:pPr>
      <w:r w:rsidRPr="000671A3">
        <w:rPr>
          <w:rFonts w:ascii="GHEA Grapalat" w:hAnsi="GHEA Grapalat"/>
          <w:color w:val="000000"/>
          <w:lang w:val="hy-AM"/>
        </w:rPr>
        <w:t>Նա</w:t>
      </w:r>
      <w:r w:rsidR="009F4FF4" w:rsidRPr="000671A3">
        <w:rPr>
          <w:rFonts w:ascii="GHEA Grapalat" w:hAnsi="GHEA Grapalat"/>
          <w:color w:val="000000"/>
          <w:lang w:val="hy-AM"/>
        </w:rPr>
        <w:t>խ</w:t>
      </w:r>
      <w:r w:rsidRPr="000671A3">
        <w:rPr>
          <w:rFonts w:ascii="GHEA Grapalat" w:hAnsi="GHEA Grapalat"/>
          <w:color w:val="000000"/>
          <w:lang w:val="hy-AM"/>
        </w:rPr>
        <w:t xml:space="preserve">ագծերի փաթեթով առաջարկվող կարգավորումները և լուծումները բխում են </w:t>
      </w:r>
      <w:r w:rsidR="007B1A1E" w:rsidRPr="000671A3">
        <w:rPr>
          <w:rFonts w:ascii="GHEA Grapalat" w:hAnsi="GHEA Grapalat"/>
          <w:color w:val="000000"/>
          <w:lang w:val="hy-AM"/>
        </w:rPr>
        <w:t xml:space="preserve">«Մասնագիտական կրթության և ուսուցման մասին» և «Կրթության մասին» օրենքներից, ինչպես նաև </w:t>
      </w:r>
      <w:r w:rsidR="008E3031" w:rsidRPr="000671A3">
        <w:rPr>
          <w:rFonts w:ascii="GHEA Grapalat" w:hAnsi="GHEA Grapalat"/>
          <w:color w:val="000000"/>
          <w:lang w:val="hy-AM"/>
        </w:rPr>
        <w:t xml:space="preserve">«Մասնագիտական կրթության և ուսուցման մասին», «Կրթության մասին» օրենքում փոփոխություններ և լրացումներ կատարելու մասին», «Պետական ոչ առևտրային կազմակերպությունների մասին» օրենքում լրացումներ կատարելու մասին» և «Հայաստանի </w:t>
      </w:r>
      <w:r w:rsidR="008E3031" w:rsidRPr="000671A3">
        <w:rPr>
          <w:rFonts w:ascii="GHEA Grapalat" w:hAnsi="GHEA Grapalat"/>
          <w:color w:val="000000"/>
          <w:lang w:val="hy-AM"/>
        </w:rPr>
        <w:lastRenderedPageBreak/>
        <w:t xml:space="preserve">Հանրապետության աշխատանքային օրենսգրքում փոփոխություններ և լրացումներ կատարելու մասին» Հայաստանի Հանրապետության օրենքների կիրարկումն ապահովող միջոցառումների ցանկը հաստատելու մասին </w:t>
      </w:r>
      <w:r w:rsidR="004142FA" w:rsidRPr="000671A3">
        <w:rPr>
          <w:rFonts w:ascii="GHEA Grapalat" w:hAnsi="GHEA Grapalat"/>
          <w:color w:val="000000"/>
          <w:lang w:val="hy-AM"/>
        </w:rPr>
        <w:t xml:space="preserve">Հայաստանի Հանրապետության Վարչապետի N 914-Ա որոշման </w:t>
      </w:r>
      <w:r w:rsidR="00F556EF" w:rsidRPr="000671A3">
        <w:rPr>
          <w:rFonts w:ascii="GHEA Grapalat" w:hAnsi="GHEA Grapalat"/>
          <w:color w:val="000000"/>
          <w:lang w:val="hy-AM"/>
        </w:rPr>
        <w:t xml:space="preserve">17-րդ կետից, ինչպես նաև </w:t>
      </w:r>
      <w:r w:rsidRPr="000671A3">
        <w:rPr>
          <w:rFonts w:ascii="GHEA Grapalat" w:hAnsi="GHEA Grapalat"/>
          <w:color w:val="000000"/>
          <w:lang w:val="hy-AM"/>
        </w:rPr>
        <w:t>Կառավարության 2021-2026</w:t>
      </w:r>
      <w:r w:rsidR="000039E6" w:rsidRPr="000671A3">
        <w:rPr>
          <w:rFonts w:ascii="GHEA Grapalat" w:hAnsi="GHEA Grapalat"/>
          <w:color w:val="000000"/>
          <w:lang w:val="hy-AM"/>
        </w:rPr>
        <w:t xml:space="preserve">թթ. </w:t>
      </w:r>
      <w:r w:rsidRPr="000671A3">
        <w:rPr>
          <w:rFonts w:ascii="GHEA Grapalat" w:hAnsi="GHEA Grapalat"/>
          <w:color w:val="000000"/>
          <w:lang w:val="hy-AM"/>
        </w:rPr>
        <w:t>ծ</w:t>
      </w:r>
      <w:r w:rsidR="000039E6" w:rsidRPr="000671A3">
        <w:rPr>
          <w:rFonts w:ascii="GHEA Grapalat" w:hAnsi="GHEA Grapalat"/>
          <w:color w:val="000000"/>
          <w:lang w:val="hy-AM"/>
        </w:rPr>
        <w:t>րագր</w:t>
      </w:r>
      <w:r w:rsidRPr="000671A3">
        <w:rPr>
          <w:rFonts w:ascii="GHEA Grapalat" w:hAnsi="GHEA Grapalat"/>
          <w:color w:val="000000"/>
          <w:lang w:val="hy-AM"/>
        </w:rPr>
        <w:t xml:space="preserve">ով և դրանից բխող գործունեության միջոցառումների ծրագրով ՄԿՈՒ ոլորտի համար սահմանված  թիրախային </w:t>
      </w:r>
      <w:r w:rsidR="000245CF" w:rsidRPr="000671A3">
        <w:rPr>
          <w:rFonts w:ascii="GHEA Grapalat" w:hAnsi="GHEA Grapalat"/>
          <w:color w:val="000000"/>
          <w:lang w:val="hy-AM"/>
        </w:rPr>
        <w:t>ուղղություններից</w:t>
      </w:r>
      <w:r w:rsidRPr="000671A3">
        <w:rPr>
          <w:rFonts w:ascii="GHEA Grapalat" w:hAnsi="GHEA Grapalat"/>
          <w:color w:val="000000"/>
          <w:lang w:val="hy-AM"/>
        </w:rPr>
        <w:t xml:space="preserve"> և միջոցառումներից, ինչպես նաև ՄԿՈՒ ոլորտ</w:t>
      </w:r>
      <w:r w:rsidR="000245CF" w:rsidRPr="000671A3">
        <w:rPr>
          <w:rFonts w:ascii="GHEA Grapalat" w:hAnsi="GHEA Grapalat"/>
          <w:color w:val="000000"/>
          <w:lang w:val="hy-AM"/>
        </w:rPr>
        <w:t xml:space="preserve">ում ընդունված </w:t>
      </w:r>
      <w:r w:rsidRPr="000671A3">
        <w:rPr>
          <w:rFonts w:ascii="GHEA Grapalat" w:hAnsi="GHEA Grapalat"/>
          <w:color w:val="000000"/>
          <w:lang w:val="hy-AM"/>
        </w:rPr>
        <w:t xml:space="preserve">մի շարք ռազմավարական փաստաթղթերով նախատեսված ՄԿՈՒ ոլորտի զարգացման տեսլականից։ </w:t>
      </w:r>
    </w:p>
    <w:sectPr w:rsidR="00213973" w:rsidRPr="000671A3" w:rsidSect="009207FF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ED9F" w14:textId="77777777" w:rsidR="0020261C" w:rsidRDefault="0020261C" w:rsidP="00193BF1">
      <w:pPr>
        <w:spacing w:after="0" w:line="240" w:lineRule="auto"/>
      </w:pPr>
      <w:r>
        <w:separator/>
      </w:r>
    </w:p>
  </w:endnote>
  <w:endnote w:type="continuationSeparator" w:id="0">
    <w:p w14:paraId="3ACFEC56" w14:textId="77777777" w:rsidR="0020261C" w:rsidRDefault="0020261C" w:rsidP="0019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1DA7F" w14:textId="39997D5F" w:rsidR="001D4508" w:rsidRDefault="001D45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6B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65F3415" w14:textId="77777777" w:rsidR="001D4508" w:rsidRDefault="001D4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1CAC3" w14:textId="77777777" w:rsidR="0020261C" w:rsidRDefault="0020261C" w:rsidP="00193BF1">
      <w:pPr>
        <w:spacing w:after="0" w:line="240" w:lineRule="auto"/>
      </w:pPr>
      <w:r>
        <w:separator/>
      </w:r>
    </w:p>
  </w:footnote>
  <w:footnote w:type="continuationSeparator" w:id="0">
    <w:p w14:paraId="10FD6208" w14:textId="77777777" w:rsidR="0020261C" w:rsidRDefault="0020261C" w:rsidP="00193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B8C"/>
    <w:multiLevelType w:val="hybridMultilevel"/>
    <w:tmpl w:val="6E949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02285"/>
    <w:multiLevelType w:val="hybridMultilevel"/>
    <w:tmpl w:val="57FCE4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0F">
      <w:start w:val="1"/>
      <w:numFmt w:val="decimal"/>
      <w:lvlText w:val="%3."/>
      <w:lvlJc w:val="left"/>
      <w:pPr>
        <w:ind w:left="2727" w:hanging="180"/>
      </w:pPr>
    </w:lvl>
    <w:lvl w:ilvl="3" w:tplc="6C8C9EFA">
      <w:start w:val="1"/>
      <w:numFmt w:val="decimal"/>
      <w:lvlText w:val="%4."/>
      <w:lvlJc w:val="left"/>
      <w:pPr>
        <w:ind w:left="3447" w:hanging="360"/>
      </w:pPr>
      <w:rPr>
        <w:b w:val="0"/>
        <w:lang w:val="hy-AM"/>
      </w:r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285429"/>
    <w:multiLevelType w:val="multilevel"/>
    <w:tmpl w:val="E18E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51F3D"/>
    <w:multiLevelType w:val="hybridMultilevel"/>
    <w:tmpl w:val="F40046EC"/>
    <w:lvl w:ilvl="0" w:tplc="3444795A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40BB2"/>
    <w:multiLevelType w:val="hybridMultilevel"/>
    <w:tmpl w:val="5BE6D998"/>
    <w:lvl w:ilvl="0" w:tplc="5F246006">
      <w:start w:val="1"/>
      <w:numFmt w:val="decimal"/>
      <w:lvlText w:val="%1)"/>
      <w:lvlJc w:val="left"/>
      <w:pPr>
        <w:ind w:left="-1704" w:hanging="360"/>
      </w:pPr>
      <w:rPr>
        <w:rFonts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-8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-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3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0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5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6" w:hanging="180"/>
      </w:pPr>
      <w:rPr>
        <w:rFonts w:cs="Times New Roman"/>
      </w:rPr>
    </w:lvl>
  </w:abstractNum>
  <w:abstractNum w:abstractNumId="5" w15:restartNumberingAfterBreak="0">
    <w:nsid w:val="18A07348"/>
    <w:multiLevelType w:val="hybridMultilevel"/>
    <w:tmpl w:val="D80E33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61C3D"/>
    <w:multiLevelType w:val="hybridMultilevel"/>
    <w:tmpl w:val="0D048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4257"/>
    <w:multiLevelType w:val="hybridMultilevel"/>
    <w:tmpl w:val="1BA4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4986">
      <w:numFmt w:val="bullet"/>
      <w:lvlText w:val="•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64990"/>
    <w:multiLevelType w:val="multilevel"/>
    <w:tmpl w:val="976C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A584E"/>
    <w:multiLevelType w:val="hybridMultilevel"/>
    <w:tmpl w:val="F32E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E9"/>
    <w:multiLevelType w:val="hybridMultilevel"/>
    <w:tmpl w:val="409E4E7C"/>
    <w:lvl w:ilvl="0" w:tplc="817E4C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357E08"/>
    <w:multiLevelType w:val="hybridMultilevel"/>
    <w:tmpl w:val="883E341C"/>
    <w:lvl w:ilvl="0" w:tplc="9EF48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73B2"/>
    <w:multiLevelType w:val="hybridMultilevel"/>
    <w:tmpl w:val="AE50D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D6ED0"/>
    <w:multiLevelType w:val="multilevel"/>
    <w:tmpl w:val="E07A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52DFE"/>
    <w:multiLevelType w:val="multilevel"/>
    <w:tmpl w:val="2A4E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052A6"/>
    <w:multiLevelType w:val="hybridMultilevel"/>
    <w:tmpl w:val="8F38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A3B07"/>
    <w:multiLevelType w:val="hybridMultilevel"/>
    <w:tmpl w:val="CCF2F488"/>
    <w:lvl w:ilvl="0" w:tplc="600AB8BE">
      <w:numFmt w:val="bullet"/>
      <w:lvlText w:val="•"/>
      <w:lvlJc w:val="left"/>
      <w:pPr>
        <w:ind w:left="720" w:hanging="360"/>
      </w:pPr>
      <w:rPr>
        <w:rFonts w:ascii="GHEA Grapalat" w:eastAsia="Calibr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82D0F"/>
    <w:multiLevelType w:val="multilevel"/>
    <w:tmpl w:val="942C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9D3F50"/>
    <w:multiLevelType w:val="hybridMultilevel"/>
    <w:tmpl w:val="261C56E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AF77402"/>
    <w:multiLevelType w:val="hybridMultilevel"/>
    <w:tmpl w:val="9F46A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C7622"/>
    <w:multiLevelType w:val="hybridMultilevel"/>
    <w:tmpl w:val="825C88AC"/>
    <w:lvl w:ilvl="0" w:tplc="600AB8BE">
      <w:numFmt w:val="bullet"/>
      <w:lvlText w:val="•"/>
      <w:lvlJc w:val="left"/>
      <w:pPr>
        <w:ind w:left="1080" w:hanging="360"/>
      </w:pPr>
      <w:rPr>
        <w:rFonts w:ascii="GHEA Grapalat" w:eastAsia="Calibr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1004C"/>
    <w:multiLevelType w:val="hybridMultilevel"/>
    <w:tmpl w:val="B6DA6994"/>
    <w:lvl w:ilvl="0" w:tplc="7AA0AE20">
      <w:numFmt w:val="bullet"/>
      <w:lvlText w:val="•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A177A"/>
    <w:multiLevelType w:val="hybridMultilevel"/>
    <w:tmpl w:val="A1362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787A2C"/>
    <w:multiLevelType w:val="hybridMultilevel"/>
    <w:tmpl w:val="9CC60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F22B0"/>
    <w:multiLevelType w:val="multilevel"/>
    <w:tmpl w:val="CA98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A5708"/>
    <w:multiLevelType w:val="hybridMultilevel"/>
    <w:tmpl w:val="30C2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20E55"/>
    <w:multiLevelType w:val="hybridMultilevel"/>
    <w:tmpl w:val="1AC2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183"/>
    <w:multiLevelType w:val="hybridMultilevel"/>
    <w:tmpl w:val="057E0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B76F6"/>
    <w:multiLevelType w:val="hybridMultilevel"/>
    <w:tmpl w:val="B19E9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978DB"/>
    <w:multiLevelType w:val="multilevel"/>
    <w:tmpl w:val="DD7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eastAsia="GHEA Grapalat" w:cs="GHEA Grapala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6"/>
  </w:num>
  <w:num w:numId="3">
    <w:abstractNumId w:val="12"/>
  </w:num>
  <w:num w:numId="4">
    <w:abstractNumId w:val="26"/>
  </w:num>
  <w:num w:numId="5">
    <w:abstractNumId w:val="15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25"/>
  </w:num>
  <w:num w:numId="11">
    <w:abstractNumId w:val="22"/>
  </w:num>
  <w:num w:numId="12">
    <w:abstractNumId w:val="16"/>
  </w:num>
  <w:num w:numId="13">
    <w:abstractNumId w:val="27"/>
  </w:num>
  <w:num w:numId="14">
    <w:abstractNumId w:val="20"/>
  </w:num>
  <w:num w:numId="15">
    <w:abstractNumId w:val="21"/>
  </w:num>
  <w:num w:numId="16">
    <w:abstractNumId w:val="23"/>
  </w:num>
  <w:num w:numId="17">
    <w:abstractNumId w:val="3"/>
  </w:num>
  <w:num w:numId="18">
    <w:abstractNumId w:val="11"/>
  </w:num>
  <w:num w:numId="19">
    <w:abstractNumId w:val="9"/>
  </w:num>
  <w:num w:numId="20">
    <w:abstractNumId w:val="0"/>
  </w:num>
  <w:num w:numId="21">
    <w:abstractNumId w:val="5"/>
  </w:num>
  <w:num w:numId="22">
    <w:abstractNumId w:val="17"/>
  </w:num>
  <w:num w:numId="23">
    <w:abstractNumId w:val="7"/>
  </w:num>
  <w:num w:numId="24">
    <w:abstractNumId w:val="14"/>
  </w:num>
  <w:num w:numId="25">
    <w:abstractNumId w:val="2"/>
  </w:num>
  <w:num w:numId="26">
    <w:abstractNumId w:val="13"/>
  </w:num>
  <w:num w:numId="27">
    <w:abstractNumId w:val="24"/>
  </w:num>
  <w:num w:numId="28">
    <w:abstractNumId w:val="29"/>
  </w:num>
  <w:num w:numId="29">
    <w:abstractNumId w:val="8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76"/>
    <w:rsid w:val="00002EED"/>
    <w:rsid w:val="000039E6"/>
    <w:rsid w:val="000245CF"/>
    <w:rsid w:val="00030615"/>
    <w:rsid w:val="00031949"/>
    <w:rsid w:val="00040E70"/>
    <w:rsid w:val="0005089D"/>
    <w:rsid w:val="0006296E"/>
    <w:rsid w:val="000671A3"/>
    <w:rsid w:val="00084EC9"/>
    <w:rsid w:val="000B19D1"/>
    <w:rsid w:val="000B3C2D"/>
    <w:rsid w:val="000B4FB7"/>
    <w:rsid w:val="000C16A4"/>
    <w:rsid w:val="000C311B"/>
    <w:rsid w:val="000D31D9"/>
    <w:rsid w:val="000D52B2"/>
    <w:rsid w:val="000E1BB3"/>
    <w:rsid w:val="000E6AFA"/>
    <w:rsid w:val="000F053C"/>
    <w:rsid w:val="000F7067"/>
    <w:rsid w:val="000F7BD8"/>
    <w:rsid w:val="001008DD"/>
    <w:rsid w:val="0010303F"/>
    <w:rsid w:val="001333FF"/>
    <w:rsid w:val="00135AD1"/>
    <w:rsid w:val="001448B6"/>
    <w:rsid w:val="00147668"/>
    <w:rsid w:val="00154755"/>
    <w:rsid w:val="0016794B"/>
    <w:rsid w:val="00173D40"/>
    <w:rsid w:val="00185903"/>
    <w:rsid w:val="00187764"/>
    <w:rsid w:val="001917B2"/>
    <w:rsid w:val="00193BF1"/>
    <w:rsid w:val="001A24C8"/>
    <w:rsid w:val="001A3CB0"/>
    <w:rsid w:val="001B6261"/>
    <w:rsid w:val="001D4508"/>
    <w:rsid w:val="001D4D1B"/>
    <w:rsid w:val="001D4F5D"/>
    <w:rsid w:val="001D793D"/>
    <w:rsid w:val="001E0B01"/>
    <w:rsid w:val="001E71E5"/>
    <w:rsid w:val="001E72D6"/>
    <w:rsid w:val="001F098E"/>
    <w:rsid w:val="001F636F"/>
    <w:rsid w:val="001F6B59"/>
    <w:rsid w:val="001F7A42"/>
    <w:rsid w:val="0020261C"/>
    <w:rsid w:val="0021198D"/>
    <w:rsid w:val="00212FBB"/>
    <w:rsid w:val="00213973"/>
    <w:rsid w:val="00222335"/>
    <w:rsid w:val="00223642"/>
    <w:rsid w:val="00224C40"/>
    <w:rsid w:val="0024151A"/>
    <w:rsid w:val="00245032"/>
    <w:rsid w:val="00246AAB"/>
    <w:rsid w:val="00263641"/>
    <w:rsid w:val="00266F30"/>
    <w:rsid w:val="00273376"/>
    <w:rsid w:val="00277103"/>
    <w:rsid w:val="00282441"/>
    <w:rsid w:val="002C1D8F"/>
    <w:rsid w:val="002C4DF0"/>
    <w:rsid w:val="002D2E82"/>
    <w:rsid w:val="002D543C"/>
    <w:rsid w:val="002E7386"/>
    <w:rsid w:val="002F18AF"/>
    <w:rsid w:val="0031124D"/>
    <w:rsid w:val="003148A9"/>
    <w:rsid w:val="003158C7"/>
    <w:rsid w:val="003221E5"/>
    <w:rsid w:val="00323DEE"/>
    <w:rsid w:val="00334D93"/>
    <w:rsid w:val="003443F1"/>
    <w:rsid w:val="00357334"/>
    <w:rsid w:val="003A03A9"/>
    <w:rsid w:val="003B43B7"/>
    <w:rsid w:val="003D3ECC"/>
    <w:rsid w:val="003F1EA6"/>
    <w:rsid w:val="004142FA"/>
    <w:rsid w:val="00415E3C"/>
    <w:rsid w:val="0041682E"/>
    <w:rsid w:val="00430C90"/>
    <w:rsid w:val="00435118"/>
    <w:rsid w:val="0044503F"/>
    <w:rsid w:val="004465D6"/>
    <w:rsid w:val="00457A74"/>
    <w:rsid w:val="0048200B"/>
    <w:rsid w:val="004825A0"/>
    <w:rsid w:val="00487AAF"/>
    <w:rsid w:val="004A1980"/>
    <w:rsid w:val="004D1A0A"/>
    <w:rsid w:val="004D54F3"/>
    <w:rsid w:val="004D57D8"/>
    <w:rsid w:val="004E7817"/>
    <w:rsid w:val="004F47F9"/>
    <w:rsid w:val="004F62EB"/>
    <w:rsid w:val="00505DE8"/>
    <w:rsid w:val="00553194"/>
    <w:rsid w:val="00553787"/>
    <w:rsid w:val="00553CD6"/>
    <w:rsid w:val="0056431D"/>
    <w:rsid w:val="00567809"/>
    <w:rsid w:val="0057323B"/>
    <w:rsid w:val="00575737"/>
    <w:rsid w:val="005816B1"/>
    <w:rsid w:val="005874B4"/>
    <w:rsid w:val="005A0FBA"/>
    <w:rsid w:val="005B041E"/>
    <w:rsid w:val="005B421A"/>
    <w:rsid w:val="005C6254"/>
    <w:rsid w:val="005E4A68"/>
    <w:rsid w:val="005E5D30"/>
    <w:rsid w:val="005F4EAA"/>
    <w:rsid w:val="00606FF2"/>
    <w:rsid w:val="00615945"/>
    <w:rsid w:val="00642931"/>
    <w:rsid w:val="006447ED"/>
    <w:rsid w:val="006526FA"/>
    <w:rsid w:val="0066756D"/>
    <w:rsid w:val="00686BC7"/>
    <w:rsid w:val="006A07A6"/>
    <w:rsid w:val="006B2736"/>
    <w:rsid w:val="006C2653"/>
    <w:rsid w:val="006F3CFD"/>
    <w:rsid w:val="00700D67"/>
    <w:rsid w:val="00701D3A"/>
    <w:rsid w:val="00704A75"/>
    <w:rsid w:val="0071265E"/>
    <w:rsid w:val="007168FA"/>
    <w:rsid w:val="00733873"/>
    <w:rsid w:val="00734978"/>
    <w:rsid w:val="00734E6C"/>
    <w:rsid w:val="00754D47"/>
    <w:rsid w:val="007750FD"/>
    <w:rsid w:val="0078773E"/>
    <w:rsid w:val="007B1A1E"/>
    <w:rsid w:val="007B3548"/>
    <w:rsid w:val="007C1EFA"/>
    <w:rsid w:val="007C3815"/>
    <w:rsid w:val="007C7F41"/>
    <w:rsid w:val="007F70B4"/>
    <w:rsid w:val="00825C60"/>
    <w:rsid w:val="0083788C"/>
    <w:rsid w:val="00846F63"/>
    <w:rsid w:val="0087186C"/>
    <w:rsid w:val="00880AF1"/>
    <w:rsid w:val="00887A57"/>
    <w:rsid w:val="0089543A"/>
    <w:rsid w:val="008B2304"/>
    <w:rsid w:val="008E0411"/>
    <w:rsid w:val="008E3031"/>
    <w:rsid w:val="00902123"/>
    <w:rsid w:val="00903770"/>
    <w:rsid w:val="00903D92"/>
    <w:rsid w:val="00914D67"/>
    <w:rsid w:val="009207FF"/>
    <w:rsid w:val="00955696"/>
    <w:rsid w:val="0099587F"/>
    <w:rsid w:val="009B0CDD"/>
    <w:rsid w:val="009B2919"/>
    <w:rsid w:val="009B4D8C"/>
    <w:rsid w:val="009B6440"/>
    <w:rsid w:val="009C5682"/>
    <w:rsid w:val="009E6B97"/>
    <w:rsid w:val="009F4FF4"/>
    <w:rsid w:val="00A015A9"/>
    <w:rsid w:val="00A168D2"/>
    <w:rsid w:val="00A32C09"/>
    <w:rsid w:val="00A55881"/>
    <w:rsid w:val="00A618DF"/>
    <w:rsid w:val="00A66D15"/>
    <w:rsid w:val="00A728D8"/>
    <w:rsid w:val="00A87E22"/>
    <w:rsid w:val="00A97C76"/>
    <w:rsid w:val="00AC30B3"/>
    <w:rsid w:val="00AC6413"/>
    <w:rsid w:val="00AD7585"/>
    <w:rsid w:val="00AE2488"/>
    <w:rsid w:val="00AE3287"/>
    <w:rsid w:val="00AF4767"/>
    <w:rsid w:val="00B11B71"/>
    <w:rsid w:val="00B23500"/>
    <w:rsid w:val="00B339C5"/>
    <w:rsid w:val="00B344F9"/>
    <w:rsid w:val="00B55D5B"/>
    <w:rsid w:val="00B650C4"/>
    <w:rsid w:val="00B70636"/>
    <w:rsid w:val="00B7734F"/>
    <w:rsid w:val="00B9130D"/>
    <w:rsid w:val="00BA0E6E"/>
    <w:rsid w:val="00BA3286"/>
    <w:rsid w:val="00BB0780"/>
    <w:rsid w:val="00BB4330"/>
    <w:rsid w:val="00BB567F"/>
    <w:rsid w:val="00BB750D"/>
    <w:rsid w:val="00BC0E43"/>
    <w:rsid w:val="00BC1FE4"/>
    <w:rsid w:val="00BC408D"/>
    <w:rsid w:val="00BC7258"/>
    <w:rsid w:val="00BF72B5"/>
    <w:rsid w:val="00C17210"/>
    <w:rsid w:val="00C26BE8"/>
    <w:rsid w:val="00C3644E"/>
    <w:rsid w:val="00C4149F"/>
    <w:rsid w:val="00C515DC"/>
    <w:rsid w:val="00C52941"/>
    <w:rsid w:val="00C55DC8"/>
    <w:rsid w:val="00C56AA7"/>
    <w:rsid w:val="00C577D3"/>
    <w:rsid w:val="00C600CA"/>
    <w:rsid w:val="00C65875"/>
    <w:rsid w:val="00C8355A"/>
    <w:rsid w:val="00CA3376"/>
    <w:rsid w:val="00CC04EC"/>
    <w:rsid w:val="00CC507D"/>
    <w:rsid w:val="00CD6F3C"/>
    <w:rsid w:val="00CE4C0D"/>
    <w:rsid w:val="00CF5794"/>
    <w:rsid w:val="00D0179D"/>
    <w:rsid w:val="00D076E1"/>
    <w:rsid w:val="00D21624"/>
    <w:rsid w:val="00D25A12"/>
    <w:rsid w:val="00D30AEE"/>
    <w:rsid w:val="00D3469F"/>
    <w:rsid w:val="00D36458"/>
    <w:rsid w:val="00D50599"/>
    <w:rsid w:val="00D55E3D"/>
    <w:rsid w:val="00D61B08"/>
    <w:rsid w:val="00D62C3E"/>
    <w:rsid w:val="00D67AF5"/>
    <w:rsid w:val="00D836B6"/>
    <w:rsid w:val="00D84290"/>
    <w:rsid w:val="00D924D3"/>
    <w:rsid w:val="00D925BF"/>
    <w:rsid w:val="00DA1A3F"/>
    <w:rsid w:val="00DA3C29"/>
    <w:rsid w:val="00DB60E1"/>
    <w:rsid w:val="00DD7796"/>
    <w:rsid w:val="00DE1891"/>
    <w:rsid w:val="00DE7837"/>
    <w:rsid w:val="00E026A7"/>
    <w:rsid w:val="00E06B86"/>
    <w:rsid w:val="00E1062F"/>
    <w:rsid w:val="00E12E38"/>
    <w:rsid w:val="00E368B8"/>
    <w:rsid w:val="00E36D00"/>
    <w:rsid w:val="00E412E3"/>
    <w:rsid w:val="00E4262F"/>
    <w:rsid w:val="00E44047"/>
    <w:rsid w:val="00EB647D"/>
    <w:rsid w:val="00EC7059"/>
    <w:rsid w:val="00EF7D01"/>
    <w:rsid w:val="00F01290"/>
    <w:rsid w:val="00F05AD1"/>
    <w:rsid w:val="00F102DF"/>
    <w:rsid w:val="00F126C1"/>
    <w:rsid w:val="00F22329"/>
    <w:rsid w:val="00F31955"/>
    <w:rsid w:val="00F36EF9"/>
    <w:rsid w:val="00F53522"/>
    <w:rsid w:val="00F556EF"/>
    <w:rsid w:val="00F7223E"/>
    <w:rsid w:val="00F7776F"/>
    <w:rsid w:val="00FA2225"/>
    <w:rsid w:val="00FA310D"/>
    <w:rsid w:val="00FA585C"/>
    <w:rsid w:val="00FA75EA"/>
    <w:rsid w:val="00FD39AC"/>
    <w:rsid w:val="00FF148A"/>
    <w:rsid w:val="00FF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C2C3"/>
  <w15:docId w15:val="{33644D02-AE16-4838-8A31-CE47867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87"/>
  </w:style>
  <w:style w:type="paragraph" w:styleId="Heading3">
    <w:name w:val="heading 3"/>
    <w:basedOn w:val="Normal"/>
    <w:link w:val="Heading3Char"/>
    <w:autoRedefine/>
    <w:qFormat/>
    <w:rsid w:val="00193BF1"/>
    <w:pPr>
      <w:spacing w:before="100" w:beforeAutospacing="1" w:after="100" w:afterAutospacing="1" w:line="240" w:lineRule="auto"/>
      <w:outlineLvl w:val="2"/>
    </w:pPr>
    <w:rPr>
      <w:rFonts w:ascii="GHEA Grapalat" w:eastAsia="Times New Roman" w:hAnsi="GHEA Grapalat" w:cs="Times New Roman"/>
      <w:b/>
      <w:bCs/>
      <w:sz w:val="24"/>
      <w:szCs w:val="27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Paragraphe de liste PBLH,Bullets,List Paragraph1,References"/>
    <w:basedOn w:val="Normal"/>
    <w:link w:val="ListParagraphChar"/>
    <w:uiPriority w:val="34"/>
    <w:qFormat/>
    <w:rsid w:val="00193B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93BF1"/>
    <w:rPr>
      <w:rFonts w:ascii="GHEA Grapalat" w:eastAsia="Times New Roman" w:hAnsi="GHEA Grapalat" w:cs="Times New Roman"/>
      <w:b/>
      <w:bCs/>
      <w:sz w:val="24"/>
      <w:szCs w:val="27"/>
      <w:lang w:val="ru-RU" w:eastAsia="ru-RU"/>
    </w:rPr>
  </w:style>
  <w:style w:type="paragraph" w:styleId="FootnoteText">
    <w:name w:val="footnote text"/>
    <w:aliases w:val="single space,FOOTNOTES,fn,ADB,footnote text Char,fn Char,ADB Char,single space Char Char,ft,Footnote Text WBR,WBR,footnote text,Testo nota a piè di pagina Carattere,Footnote text,paragraph,Paragraph Footnote,f,Geneva 9,Font: Geneva 9"/>
    <w:basedOn w:val="Normal"/>
    <w:link w:val="FootnoteTextChar"/>
    <w:uiPriority w:val="99"/>
    <w:unhideWhenUsed/>
    <w:qFormat/>
    <w:rsid w:val="00193BF1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aliases w:val="single space Char,FOOTNOTES Char,fn Char1,ADB Char1,footnote text Char Char,fn Char Char,ADB Char Char,single space Char Char Char,ft Char,Footnote Text WBR Char,WBR Char,footnote text Char1,Testo nota a piè di pagina Carattere Char"/>
    <w:basedOn w:val="DefaultParagraphFont"/>
    <w:link w:val="FootnoteText"/>
    <w:uiPriority w:val="99"/>
    <w:rsid w:val="00193BF1"/>
    <w:rPr>
      <w:sz w:val="20"/>
      <w:szCs w:val="20"/>
      <w:lang w:val="ru-RU"/>
    </w:rPr>
  </w:style>
  <w:style w:type="character" w:styleId="FootnoteReference">
    <w:name w:val="footnote reference"/>
    <w:aliases w:val="ftref,fr,Footnote Reference Number,Footnote Reference_LVL6,Footnote Reference_LVL61,Footnote Reference_LVL62,Footnote Reference_LVL63,Footnote Reference_LVL64,Знак сноски-FN,16 Point,Superscript 6 Point,Footnote Reference Superscript"/>
    <w:basedOn w:val="DefaultParagraphFont"/>
    <w:link w:val="denotaalpie"/>
    <w:uiPriority w:val="99"/>
    <w:unhideWhenUsed/>
    <w:rsid w:val="00193B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7A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A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4F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F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F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5D"/>
    <w:rPr>
      <w:b/>
      <w:bCs/>
      <w:sz w:val="20"/>
      <w:szCs w:val="20"/>
    </w:rPr>
  </w:style>
  <w:style w:type="paragraph" w:customStyle="1" w:styleId="denotaalpie">
    <w:name w:val="de nota al pie"/>
    <w:aliases w:val="Ref,FnR-ANZDEC,(NECG) Footnote Reference,Footnote Ref in FtNote,SUPERS,Fußnotenzeichen DISS,Footnote,Footnote symbol,Char1 Char Char Char Char"/>
    <w:basedOn w:val="Normal"/>
    <w:link w:val="FootnoteReference"/>
    <w:uiPriority w:val="99"/>
    <w:rsid w:val="00CC04EC"/>
    <w:pPr>
      <w:spacing w:line="240" w:lineRule="exact"/>
    </w:pPr>
    <w:rPr>
      <w:vertAlign w:val="superscript"/>
    </w:rPr>
  </w:style>
  <w:style w:type="paragraph" w:customStyle="1" w:styleId="mechtex">
    <w:name w:val="mechtex"/>
    <w:basedOn w:val="Normal"/>
    <w:link w:val="mechtexChar"/>
    <w:uiPriority w:val="99"/>
    <w:rsid w:val="00D21624"/>
    <w:pPr>
      <w:spacing w:after="0" w:line="240" w:lineRule="auto"/>
      <w:jc w:val="center"/>
    </w:pPr>
    <w:rPr>
      <w:rFonts w:ascii="Arial Armenian" w:eastAsia="Calibri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uiPriority w:val="99"/>
    <w:locked/>
    <w:rsid w:val="00D21624"/>
    <w:rPr>
      <w:rFonts w:ascii="Arial Armenian" w:eastAsia="Calibri" w:hAnsi="Arial Armenian" w:cs="Times New Roman"/>
      <w:sz w:val="20"/>
      <w:szCs w:val="20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D84290"/>
    <w:pPr>
      <w:spacing w:after="100" w:line="276" w:lineRule="auto"/>
      <w:ind w:left="220"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Bullets Char"/>
    <w:link w:val="ListParagraph"/>
    <w:uiPriority w:val="34"/>
    <w:locked/>
    <w:rsid w:val="006C2653"/>
  </w:style>
  <w:style w:type="paragraph" w:styleId="Header">
    <w:name w:val="header"/>
    <w:basedOn w:val="Normal"/>
    <w:link w:val="HeaderChar"/>
    <w:uiPriority w:val="99"/>
    <w:unhideWhenUsed/>
    <w:rsid w:val="001D4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508"/>
  </w:style>
  <w:style w:type="paragraph" w:styleId="Footer">
    <w:name w:val="footer"/>
    <w:basedOn w:val="Normal"/>
    <w:link w:val="FooterChar"/>
    <w:uiPriority w:val="99"/>
    <w:unhideWhenUsed/>
    <w:rsid w:val="001D4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508"/>
  </w:style>
  <w:style w:type="character" w:styleId="Strong">
    <w:name w:val="Strong"/>
    <w:basedOn w:val="DefaultParagraphFont"/>
    <w:uiPriority w:val="22"/>
    <w:qFormat/>
    <w:rsid w:val="00E12E38"/>
    <w:rPr>
      <w:b/>
      <w:bCs/>
    </w:rPr>
  </w:style>
  <w:style w:type="paragraph" w:styleId="Revision">
    <w:name w:val="Revision"/>
    <w:hidden/>
    <w:uiPriority w:val="99"/>
    <w:semiHidden/>
    <w:rsid w:val="002C4D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47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0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F7FE-0756-4FBB-B36A-4B3C90A4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Sargsyan, Nora GIZ AM</dc:creator>
  <cp:keywords>https:/mul2.gov.am/tasks/879719/oneclick/HIMNAVORUM.17.10.2023.docx?token=52f1377baace2314a2775b2e9f6e1ec1</cp:keywords>
  <dc:description/>
  <cp:lastModifiedBy>User</cp:lastModifiedBy>
  <cp:revision>19</cp:revision>
  <dcterms:created xsi:type="dcterms:W3CDTF">2025-06-13T06:14:00Z</dcterms:created>
  <dcterms:modified xsi:type="dcterms:W3CDTF">2025-07-11T13:01:00Z</dcterms:modified>
</cp:coreProperties>
</file>