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E3ED" w14:textId="5A27C0FE" w:rsidR="00AE3043" w:rsidRPr="00A03E97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1417AAC1" w14:textId="6B14A33E" w:rsidR="00AE3043" w:rsidRDefault="00DB345A" w:rsidP="00003975">
      <w:pPr>
        <w:spacing w:after="0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««ԴԵՂԵՐԻ ՄԱՍԻՆ» ՀԱՅԱՍՏԱՆԻ ՀԱՆՐԱՊԵՏՈՒԹՅԱՆ ՕՐԵՆՔՈՒՄ ԼՐԱՑՈՒՄՆԵՐ ԿԱՏԱՐԵԼՈՒ ՄԱՍԻՆ» ԵՎ </w:t>
      </w:r>
      <w:r w:rsidR="0047326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</w:t>
      </w:r>
      <w:r w:rsidR="00413920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ՎԱՐՉԱԿԱՆ ԻՐԱՎԱԽԱԽՏՈՒՄՆԵՐԻ ՎԵՐԱԲԵՐՅԱԼ </w:t>
      </w:r>
      <w:r w:rsidR="00AA2DD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ՀԱՅԱՍՏԱՆԻ ՀԱՆՐԱՊԵՏՈՒԹՅԱՆ </w:t>
      </w:r>
      <w:r w:rsidR="00413920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ՕՐԵՆՍԳՐՔՈՒՄ </w:t>
      </w:r>
      <w:r w:rsidR="00AE3043" w:rsidRPr="0084789F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ՓՈՓՈԽՈՒԹՅՈՒՆՆԵՐ</w:t>
      </w:r>
      <w:r w:rsidR="00AE3043"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ԵՎ ԼՐԱՑՈՒՄ </w:t>
      </w:r>
      <w:r w:rsidR="00AE3043"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ԿԱՏԱՐԵԼՈՒ ՄԱՍԻՆ</w:t>
      </w:r>
      <w:r w:rsidR="0047326C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» ՕՐԵՆՔՆԵՐԻ ՆԱԽԱԳԾԵՐԻ ԸՆԴՈՒՆՄԱՆ ՎԵՐԱԲԵՐՅԱԼ</w:t>
      </w:r>
    </w:p>
    <w:p w14:paraId="4EC22253" w14:textId="77777777" w:rsidR="00413920" w:rsidRDefault="00413920" w:rsidP="00003975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</w:p>
    <w:p w14:paraId="1D4FA8D8" w14:textId="016ECBF7" w:rsidR="007857AF" w:rsidRPr="00AC52CD" w:rsidRDefault="00AE3043" w:rsidP="00003975">
      <w:pPr>
        <w:spacing w:after="0" w:line="360" w:lineRule="auto"/>
        <w:ind w:firstLine="720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A03E97"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> 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AC52C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</w:t>
      </w:r>
    </w:p>
    <w:p w14:paraId="50B3CB7B" w14:textId="14A7A2BC" w:rsidR="00413920" w:rsidRDefault="00AC52CD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 w:cs="Arial"/>
          <w:spacing w:val="-2"/>
          <w:lang w:val="hy-AM"/>
        </w:rPr>
        <w:t>Նախագծերի ընդունման անհրա</w:t>
      </w:r>
      <w:r w:rsidR="00DB345A">
        <w:rPr>
          <w:rFonts w:ascii="GHEA Grapalat" w:hAnsi="GHEA Grapalat" w:cs="Arial"/>
          <w:spacing w:val="-2"/>
          <w:lang w:val="hy-AM"/>
        </w:rPr>
        <w:t>ժ</w:t>
      </w:r>
      <w:r>
        <w:rPr>
          <w:rFonts w:ascii="GHEA Grapalat" w:hAnsi="GHEA Grapalat" w:cs="Arial"/>
          <w:spacing w:val="-2"/>
          <w:lang w:val="hy-AM"/>
        </w:rPr>
        <w:t>եշտությունը պայմանավորված է դեղատոմսով բաց թողնվող դեղերի շարքին դասվող դեղերի նշանակման, առանց դեղատոմս</w:t>
      </w:r>
      <w:r w:rsidR="00DB345A">
        <w:rPr>
          <w:rFonts w:ascii="GHEA Grapalat" w:hAnsi="GHEA Grapalat" w:cs="Arial"/>
          <w:spacing w:val="-2"/>
          <w:lang w:val="hy-AM"/>
        </w:rPr>
        <w:t>ի</w:t>
      </w:r>
      <w:r>
        <w:rPr>
          <w:rFonts w:ascii="GHEA Grapalat" w:hAnsi="GHEA Grapalat" w:cs="Arial"/>
          <w:spacing w:val="-2"/>
          <w:lang w:val="hy-AM"/>
        </w:rPr>
        <w:t xml:space="preserve"> իրացման </w:t>
      </w:r>
      <w:r w:rsidR="00DB345A">
        <w:rPr>
          <w:rFonts w:ascii="GHEA Grapalat" w:hAnsi="GHEA Grapalat" w:cs="Arial"/>
          <w:spacing w:val="-2"/>
          <w:lang w:val="hy-AM"/>
        </w:rPr>
        <w:t>հետ կապված</w:t>
      </w:r>
      <w:r>
        <w:rPr>
          <w:rFonts w:ascii="GHEA Grapalat" w:hAnsi="GHEA Grapalat" w:cs="Arial"/>
          <w:spacing w:val="-2"/>
          <w:lang w:val="hy-AM"/>
        </w:rPr>
        <w:t xml:space="preserve"> </w:t>
      </w:r>
      <w:r w:rsidR="00AA2DDC" w:rsidRPr="00A31D1F">
        <w:rPr>
          <w:rFonts w:ascii="GHEA Grapalat" w:hAnsi="GHEA Grapalat"/>
          <w:lang w:val="hy-AM"/>
        </w:rPr>
        <w:t xml:space="preserve">իրավախատումների </w:t>
      </w:r>
      <w:r w:rsidR="00AA2DDC">
        <w:rPr>
          <w:rFonts w:ascii="GHEA Grapalat" w:hAnsi="GHEA Grapalat"/>
          <w:lang w:val="hy-AM"/>
        </w:rPr>
        <w:t xml:space="preserve">և կիրառվող պատասխանատվության միջոցների </w:t>
      </w:r>
      <w:r w:rsidR="00AA2DDC" w:rsidRPr="00A31D1F">
        <w:rPr>
          <w:rFonts w:ascii="GHEA Grapalat" w:hAnsi="GHEA Grapalat"/>
          <w:lang w:val="hy-AM"/>
        </w:rPr>
        <w:t>շրջանակ</w:t>
      </w:r>
      <w:r w:rsidR="00AA2DDC">
        <w:rPr>
          <w:rFonts w:ascii="GHEA Grapalat" w:hAnsi="GHEA Grapalat"/>
          <w:lang w:val="hy-AM"/>
        </w:rPr>
        <w:t>ների</w:t>
      </w:r>
      <w:r w:rsidR="00AA2DDC" w:rsidRPr="00A31D1F">
        <w:rPr>
          <w:rFonts w:ascii="GHEA Grapalat" w:hAnsi="GHEA Grapalat"/>
          <w:lang w:val="hy-AM"/>
        </w:rPr>
        <w:t xml:space="preserve"> </w:t>
      </w:r>
      <w:r w:rsidR="00413920">
        <w:rPr>
          <w:rFonts w:ascii="GHEA Grapalat" w:hAnsi="GHEA Grapalat" w:cs="Arial"/>
          <w:spacing w:val="-2"/>
          <w:lang w:val="hy-AM"/>
        </w:rPr>
        <w:t>հստակեցման հանգամանքով:</w:t>
      </w:r>
    </w:p>
    <w:p w14:paraId="31FEC071" w14:textId="77777777" w:rsidR="00DD4E69" w:rsidRDefault="00DD4E69" w:rsidP="00003975">
      <w:pPr>
        <w:shd w:val="clear" w:color="auto" w:fill="FFFFFF"/>
        <w:spacing w:after="0" w:line="360" w:lineRule="auto"/>
        <w:ind w:firstLine="720"/>
        <w:jc w:val="both"/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</w:pPr>
      <w:r w:rsidRPr="00AC52CD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«Դեղերի մասին» ՀՀ օրենքի 25-րդ հոդվածի 9-րդ մասով արգելք է սահմանված միայն ՀՀ օրենսդրությամբ 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սահմանված պահանջներին չհամապատասխանող ձևաթղթերի վրա դեղատոմսերի դուրսգրման համար: Մինչդեռ գործնականում հանդիպում են դեպքեր, երբ բժշկի կողմից պացիենտին նշանակվում են </w:t>
      </w:r>
      <w:r w:rsidRPr="00716918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դեղատոմսով բաց թողնվող դեղերի շարքին դասվող դեղեր, սակայն 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բժշկի կողմից </w:t>
      </w:r>
      <w:r w:rsidRPr="00716918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դեղատոմս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 դուրս չի գրվում:</w:t>
      </w:r>
      <w:r w:rsidRPr="00716918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 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Միևնույն ժամանակ որևէ գործիքակազմ նախատեսված չէ բժշկի կողմից դեղատոմս դուրս չգրելու կամ ՀՀ օրենսդրության պահանջներին չհամապատասխանող ձևաթղթերի վրա դեղատոմսերի դուրսգրման գործընթացի նկատմամբ</w:t>
      </w:r>
      <w:r w:rsidRPr="00DB345A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 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բժշկական կազմակերպության ղեկավարի կողմից ոչ պատշաճ հսկողություն իրականացնելու դեպքում վերջինիս ևս պատասխանատվության ենթարկելու համար:</w:t>
      </w:r>
    </w:p>
    <w:p w14:paraId="1529702B" w14:textId="77777777" w:rsidR="00DD4E69" w:rsidRPr="00AA7B18" w:rsidRDefault="00DD4E69" w:rsidP="00003975">
      <w:pPr>
        <w:shd w:val="clear" w:color="auto" w:fill="FFFFFF"/>
        <w:spacing w:after="0" w:line="360" w:lineRule="auto"/>
        <w:ind w:firstLine="720"/>
        <w:jc w:val="both"/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</w:pP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Գ</w:t>
      </w:r>
      <w:r w:rsidRPr="00252057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ործող կարգավորումների համաձայն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` վարչական պատասխանատվություն է նախատեսված միայն ՀՀ օրենսդրությամբ սահմանված պահանջներին չհամապատասխանող ձևաթղթերի վրա դեղատոմսեր գրելու համար</w:t>
      </w:r>
      <w:r w:rsidRPr="00966677"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: 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 xml:space="preserve">Ինչպես նաև վարչական պատասխանատվությունը սահմանված է </w:t>
      </w:r>
      <w:r w:rsidRPr="00A17286">
        <w:rPr>
          <w:rStyle w:val="apple-converted-space"/>
          <w:rFonts w:ascii="GHEA Grapalat" w:hAnsi="GHEA Grapalat" w:cs="Courier New"/>
          <w:bCs/>
          <w:sz w:val="24"/>
          <w:szCs w:val="24"/>
          <w:lang w:val="hy-AM"/>
        </w:rPr>
        <w:t xml:space="preserve">յուրաքանչյուր անվանմամբ դեղի </w:t>
      </w:r>
      <w:r>
        <w:rPr>
          <w:rStyle w:val="apple-converted-space"/>
          <w:rFonts w:ascii="GHEA Grapalat" w:hAnsi="GHEA Grapalat" w:cs="Courier New"/>
          <w:bCs/>
          <w:sz w:val="24"/>
          <w:szCs w:val="24"/>
          <w:lang w:val="hy-AM"/>
        </w:rPr>
        <w:t xml:space="preserve">դուրս գրման և իրացման դեպքի </w:t>
      </w:r>
      <w:r w:rsidRPr="00A17286">
        <w:rPr>
          <w:rStyle w:val="apple-converted-space"/>
          <w:rFonts w:ascii="GHEA Grapalat" w:hAnsi="GHEA Grapalat" w:cs="Courier New"/>
          <w:bCs/>
          <w:sz w:val="24"/>
          <w:szCs w:val="24"/>
          <w:lang w:val="hy-AM"/>
        </w:rPr>
        <w:t>համար</w:t>
      </w:r>
      <w:r>
        <w:rPr>
          <w:rStyle w:val="apple-converted-space"/>
          <w:rFonts w:ascii="GHEA Grapalat" w:hAnsi="GHEA Grapalat" w:cs="Courier New"/>
          <w:bCs/>
          <w:color w:val="000000"/>
          <w:sz w:val="24"/>
          <w:szCs w:val="24"/>
          <w:lang w:val="hy-AM"/>
        </w:rPr>
        <w:t>:</w:t>
      </w:r>
    </w:p>
    <w:p w14:paraId="05D4AB7B" w14:textId="77777777" w:rsidR="00AA2DDC" w:rsidRDefault="00AA2DDC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spacing w:val="-2"/>
          <w:lang w:val="hy-AM"/>
        </w:rPr>
      </w:pPr>
    </w:p>
    <w:p w14:paraId="59FB8247" w14:textId="1A9348D4" w:rsidR="00AE3043" w:rsidRDefault="00AE3043" w:rsidP="00003975">
      <w:pPr>
        <w:shd w:val="clear" w:color="auto" w:fill="FFFFFF"/>
        <w:spacing w:after="0" w:line="360" w:lineRule="auto"/>
        <w:ind w:firstLine="720"/>
        <w:jc w:val="both"/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</w:pP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09193C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03E97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</w:p>
    <w:p w14:paraId="797AC761" w14:textId="110E90A9" w:rsidR="0084789F" w:rsidRPr="00AA7B18" w:rsidRDefault="00AA7B18" w:rsidP="0000397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AA7B1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Հաշվի առնելով վերը նշված հանգամանքները` </w:t>
      </w:r>
      <w:r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ա</w:t>
      </w:r>
      <w:r w:rsidR="00860A3C"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ռաջարկվող </w:t>
      </w:r>
      <w:r w:rsidR="00B455D0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օրենսդրական փոփոխություններով</w:t>
      </w:r>
      <w:r w:rsidR="00860A3C"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DD4E69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որպես արգելք կսահմանվի նաև բժշկի կողմից դեղատոմսով </w:t>
      </w:r>
      <w:r w:rsidR="00DD4E69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lastRenderedPageBreak/>
        <w:t xml:space="preserve">դուրսգրման ենթակա դեղերի համար դեղատոմս դուրս չգրելը, ինչպես նաև </w:t>
      </w:r>
      <w:r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բժշկական կազմակերպության ղեկավարի համար կսահմանվ</w:t>
      </w:r>
      <w:r w:rsidR="00DB05A4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ի</w:t>
      </w:r>
      <w:r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պարտականություն</w:t>
      </w:r>
      <w:r w:rsidR="00EF592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` դ</w:t>
      </w:r>
      <w:r w:rsidR="00EF5927" w:rsidRPr="00EF592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եղատոմսերը </w:t>
      </w:r>
      <w:r w:rsidR="00EF592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ՀՀ</w:t>
      </w:r>
      <w:r w:rsidR="00EF5927" w:rsidRPr="00EF592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օրենսդրությամբ սահմանված կարգով դուրս գրելու նկատմամբ հսկողություն իրականացն</w:t>
      </w:r>
      <w:r w:rsidR="00EF5927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ելու մասով: Միաժամանակ նշված պահանջների չկատարման համար կնախատեսվի</w:t>
      </w:r>
      <w:r w:rsidRPr="00AA7B18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</w:t>
      </w:r>
      <w:r w:rsidR="00121C51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համապատասխան </w:t>
      </w:r>
      <w:r w:rsidR="0084789F" w:rsidRPr="00AA7B18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վարչական պատասխանատվություն:</w:t>
      </w:r>
    </w:p>
    <w:p w14:paraId="1302272B" w14:textId="76D06242" w:rsidR="0084789F" w:rsidRDefault="00B455D0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այն հանգամանքը, որ գ</w:t>
      </w:r>
      <w:r w:rsidR="00402A43">
        <w:rPr>
          <w:rFonts w:ascii="GHEA Grapalat" w:hAnsi="GHEA Grapalat"/>
          <w:color w:val="000000"/>
          <w:shd w:val="clear" w:color="auto" w:fill="FFFFFF"/>
          <w:lang w:val="hy-AM"/>
        </w:rPr>
        <w:t>ործող կարգավորումների համաձայն վարչական պատասխանատվություն է նախատեսված դ</w:t>
      </w:r>
      <w:r w:rsidR="00402A43" w:rsidRPr="00402A43">
        <w:rPr>
          <w:rFonts w:ascii="GHEA Grapalat" w:hAnsi="GHEA Grapalat"/>
          <w:color w:val="000000"/>
          <w:shd w:val="clear" w:color="auto" w:fill="FFFFFF"/>
          <w:lang w:val="hy-AM"/>
        </w:rPr>
        <w:t>եղատոմսով բաց թողնվող դեղերն առանց դեղատոմսի կամ Հայաստանի Հանրապետության օրենսդրությամբ սահմանված պահանջներին չհամապատասխանող ձևաթղթերի վրա դուրս գրված դեղատոմսերով իրացնել</w:t>
      </w:r>
      <w:r w:rsidR="00402A43">
        <w:rPr>
          <w:rFonts w:ascii="GHEA Grapalat" w:hAnsi="GHEA Grapalat"/>
          <w:color w:val="000000"/>
          <w:shd w:val="clear" w:color="auto" w:fill="FFFFFF"/>
          <w:lang w:val="hy-AM"/>
        </w:rPr>
        <w:t xml:space="preserve">ու համար, ուստի նախագծով առաջարկվում է պատասխանատվության ենթարկել ոչ թե </w:t>
      </w:r>
      <w:r w:rsidR="00402A43" w:rsidRPr="00402A43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անվանմամբ դեղի </w:t>
      </w:r>
      <w:r w:rsidR="00402A43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իրացման </w:t>
      </w:r>
      <w:r w:rsidR="00402A43" w:rsidRPr="00402A43">
        <w:rPr>
          <w:rFonts w:ascii="GHEA Grapalat" w:hAnsi="GHEA Grapalat"/>
          <w:color w:val="000000"/>
          <w:shd w:val="clear" w:color="auto" w:fill="FFFFFF"/>
          <w:lang w:val="hy-AM"/>
        </w:rPr>
        <w:t>համար</w:t>
      </w:r>
      <w:r w:rsidR="00402A43">
        <w:rPr>
          <w:rFonts w:ascii="GHEA Grapalat" w:hAnsi="GHEA Grapalat"/>
          <w:color w:val="000000"/>
          <w:shd w:val="clear" w:color="auto" w:fill="FFFFFF"/>
          <w:lang w:val="hy-AM"/>
        </w:rPr>
        <w:t>, այլ յուրաքանչյուր իրացման դեպքով:</w:t>
      </w:r>
    </w:p>
    <w:p w14:paraId="33566707" w14:textId="756FC994" w:rsidR="00EF5927" w:rsidRDefault="00EF5927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Նախագծով նաև վերանայվում են վարչական պատասխանատվության միջոցները, տարանջատվում և հստակեցվում սանկցիաները` սահմանելով</w:t>
      </w:r>
      <w:r w:rsidR="00D93CBC">
        <w:rPr>
          <w:rFonts w:ascii="GHEA Grapalat" w:hAnsi="GHEA Grapalat"/>
          <w:color w:val="000000"/>
          <w:shd w:val="clear" w:color="auto" w:fill="FFFFFF"/>
          <w:lang w:val="hy-AM"/>
        </w:rPr>
        <w:t xml:space="preserve"> նաև տուգանքի առավելագույն շեմի սահմանափակում:</w:t>
      </w:r>
    </w:p>
    <w:p w14:paraId="0210C55D" w14:textId="1EBA5744" w:rsidR="00AE4B50" w:rsidRPr="00AE4B50" w:rsidRDefault="00AE4B50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spacing w:val="-2"/>
          <w:vertAlign w:val="superscrip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Միաժամանակ, հանվում է վերոնշյալ արարքները մեկ տարվա ընթացքում կրկին կատարելու համար օրենսգրքով սահմանված առավել խիստ </w:t>
      </w:r>
      <w:r w:rsidRPr="00AE4B50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կրկնապատիկի չափով</w:t>
      </w:r>
      <w:r w:rsidRPr="00AE4B50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վարչական պատասխանատվության միջոցը:</w:t>
      </w:r>
    </w:p>
    <w:p w14:paraId="674EC61C" w14:textId="77777777" w:rsidR="0084789F" w:rsidRDefault="0084789F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spacing w:val="-2"/>
          <w:lang w:val="hy-AM"/>
        </w:rPr>
      </w:pPr>
    </w:p>
    <w:p w14:paraId="469406A6" w14:textId="59F15694" w:rsidR="00AE3043" w:rsidRPr="00CA3BD1" w:rsidRDefault="00AE3043" w:rsidP="0000397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CA3BD1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09193C" w:rsidRPr="0009193C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A3BD1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7CFDD21" w14:textId="77777777" w:rsidR="00AE3043" w:rsidRPr="00CA3BD1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CA3BD1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կողմից:</w:t>
      </w:r>
    </w:p>
    <w:p w14:paraId="39D478BF" w14:textId="77777777" w:rsidR="00402A43" w:rsidRDefault="00402A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</w:p>
    <w:p w14:paraId="3C631820" w14:textId="46C60B06" w:rsidR="00AE3043" w:rsidRPr="00CA3BD1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CA3BD1">
        <w:rPr>
          <w:rFonts w:ascii="GHEA Grapalat" w:hAnsi="GHEA Grapalat"/>
          <w:b/>
          <w:bCs/>
          <w:color w:val="000000"/>
          <w:u w:val="single"/>
          <w:lang w:val="hy-AM"/>
        </w:rPr>
        <w:t>4.</w:t>
      </w:r>
      <w:r w:rsidR="00003975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Pr="00CA3BD1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14:paraId="40A154FF" w14:textId="6ABEFE83" w:rsidR="00EA09F1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A3BD1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CA3BD1">
        <w:rPr>
          <w:rFonts w:ascii="GHEA Grapalat" w:hAnsi="GHEA Grapalat"/>
          <w:color w:val="000000"/>
          <w:lang w:val="hy-AM"/>
        </w:rPr>
        <w:t xml:space="preserve"> արդյունքում ակնկալվում </w:t>
      </w:r>
      <w:r w:rsidR="002E4A41" w:rsidRPr="00CA3BD1">
        <w:rPr>
          <w:rFonts w:ascii="GHEA Grapalat" w:hAnsi="GHEA Grapalat"/>
          <w:color w:val="000000"/>
          <w:lang w:val="hy-AM"/>
        </w:rPr>
        <w:t xml:space="preserve">է </w:t>
      </w:r>
      <w:r w:rsidR="00402A43">
        <w:rPr>
          <w:rFonts w:ascii="GHEA Grapalat" w:hAnsi="GHEA Grapalat"/>
          <w:color w:val="000000"/>
          <w:lang w:val="hy-AM"/>
        </w:rPr>
        <w:t>վարչական իրավախախտումների և պատասխանատվության միջոցների հստակեցում</w:t>
      </w:r>
      <w:r w:rsidR="00D93CBC">
        <w:rPr>
          <w:rFonts w:ascii="GHEA Grapalat" w:hAnsi="GHEA Grapalat"/>
          <w:color w:val="000000"/>
          <w:lang w:val="hy-AM"/>
        </w:rPr>
        <w:t xml:space="preserve">, պատասխանատվության բեռի համաչափ բաշխում, իրավախախտումների դեպքերի նվազում, ինչը հնարավորություն կտա օրենսդրությամբ սահմանված պահանջների պատշաճ պահպանմամբ իրականացնել </w:t>
      </w:r>
      <w:r w:rsidR="0015608E">
        <w:rPr>
          <w:rFonts w:ascii="GHEA Grapalat" w:hAnsi="GHEA Grapalat"/>
          <w:color w:val="000000"/>
          <w:lang w:val="hy-AM"/>
        </w:rPr>
        <w:t>բնակչության բժշկական օգնությունն ու սպասարկումը</w:t>
      </w:r>
      <w:r w:rsidR="00B455D0">
        <w:rPr>
          <w:rFonts w:ascii="GHEA Grapalat" w:hAnsi="GHEA Grapalat"/>
          <w:color w:val="000000"/>
          <w:lang w:val="hy-AM"/>
        </w:rPr>
        <w:t>:</w:t>
      </w:r>
    </w:p>
    <w:p w14:paraId="7CA3EE1C" w14:textId="77777777" w:rsidR="00121C51" w:rsidRPr="00CA3BD1" w:rsidRDefault="00121C51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8469E85" w14:textId="7A80CDA8" w:rsidR="00AE3043" w:rsidRPr="00CA3BD1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u w:val="single"/>
          <w:lang w:val="hy-AM"/>
        </w:rPr>
      </w:pPr>
      <w:r w:rsidRPr="00402A43">
        <w:rPr>
          <w:rFonts w:ascii="GHEA Grapalat" w:hAnsi="GHEA Grapalat" w:cs="Sylfaen"/>
          <w:b/>
          <w:u w:val="single"/>
          <w:lang w:val="hy-AM"/>
        </w:rPr>
        <w:t>5.</w:t>
      </w:r>
      <w:r w:rsidR="0009193C" w:rsidRPr="0009193C">
        <w:rPr>
          <w:rFonts w:ascii="GHEA Grapalat" w:hAnsi="GHEA Grapalat" w:cs="Sylfaen"/>
          <w:b/>
          <w:u w:val="single"/>
          <w:lang w:val="hy-AM"/>
        </w:rPr>
        <w:t xml:space="preserve"> </w:t>
      </w:r>
      <w:r w:rsidRPr="00CA3BD1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183C0CAA" w14:textId="77777777" w:rsidR="00AE3043" w:rsidRPr="00CA3BD1" w:rsidRDefault="00AE3043" w:rsidP="000039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u w:val="single"/>
          <w:lang w:val="hy-AM"/>
        </w:rPr>
      </w:pPr>
      <w:r w:rsidRPr="00CA3BD1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Pr="00CA3BD1">
        <w:rPr>
          <w:rFonts w:ascii="GHEA Grapalat" w:hAnsi="GHEA Grapalat" w:cs="Sylfaen"/>
          <w:lang w:val="hy-AM"/>
        </w:rPr>
        <w:t xml:space="preserve">Հայաստանի Հանրապետության պետական բյուջեում ծախսերի և եկամուտների ավելացում չի նախատեսվում: </w:t>
      </w:r>
    </w:p>
    <w:p w14:paraId="73EA3458" w14:textId="77777777" w:rsidR="00121C51" w:rsidRDefault="00121C51" w:rsidP="0000397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highlight w:val="yellow"/>
          <w:lang w:val="hy-AM"/>
        </w:rPr>
      </w:pPr>
    </w:p>
    <w:p w14:paraId="52BEA003" w14:textId="3A5E97C6" w:rsidR="00AE3043" w:rsidRDefault="00AE3043" w:rsidP="0000397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51025B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="0009193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51025B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1BCA4FD7" w14:textId="292A219B" w:rsidR="00DD39BC" w:rsidRPr="00DD39BC" w:rsidRDefault="00DD39BC" w:rsidP="0000397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բխում է Կառավարության 2021-2026թթ. ծրագրից, որի 4.5-րդ գլխի 8-րդ կետի համաձայն` </w:t>
      </w:r>
      <w:r w:rsidRPr="00DD39BC">
        <w:rPr>
          <w:rFonts w:ascii="GHEA Grapalat" w:hAnsi="GHEA Grapalat"/>
          <w:sz w:val="24"/>
          <w:szCs w:val="24"/>
          <w:lang w:val="hy-AM"/>
        </w:rPr>
        <w:t>Կառավարության հիմնական նպատակներից շարունակում է մնալ առողջապահության էլեկտրոնային ամբողջական համակարգի ներդրումը, որի շնորհիվ քաղաքացիներին էլեկտրոնային հարթակում հասանելի կլինեն իրենց բժշկական տվյալները: Էլեկտրոնային համակարգի միջոցով հնարավոր կլինի առցանց հերթագրվելու բժշկական հաստատությունում ծառայություն ստանալու նպատակով, էլեկտրոնային դեղատոմսով դեղատներից ստանալ նշանակված դեղորայքը</w:t>
      </w:r>
      <w:r w:rsidR="0051025B">
        <w:rPr>
          <w:rFonts w:ascii="GHEA Grapalat" w:hAnsi="GHEA Grapalat"/>
          <w:sz w:val="24"/>
          <w:szCs w:val="24"/>
          <w:lang w:val="hy-AM"/>
        </w:rPr>
        <w:t xml:space="preserve"> ...:</w:t>
      </w:r>
    </w:p>
    <w:sectPr w:rsidR="00DD39BC" w:rsidRPr="00DD39BC" w:rsidSect="0015608E">
      <w:pgSz w:w="11906" w:h="16838" w:code="9"/>
      <w:pgMar w:top="810" w:right="1016" w:bottom="13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43"/>
    <w:rsid w:val="00003975"/>
    <w:rsid w:val="0009193C"/>
    <w:rsid w:val="00121C51"/>
    <w:rsid w:val="0015608E"/>
    <w:rsid w:val="00170992"/>
    <w:rsid w:val="001B3BF7"/>
    <w:rsid w:val="00252057"/>
    <w:rsid w:val="002E4A41"/>
    <w:rsid w:val="003630BE"/>
    <w:rsid w:val="00402A43"/>
    <w:rsid w:val="00413920"/>
    <w:rsid w:val="004346E2"/>
    <w:rsid w:val="0047326C"/>
    <w:rsid w:val="004867EA"/>
    <w:rsid w:val="004E6B0D"/>
    <w:rsid w:val="0051025B"/>
    <w:rsid w:val="00583731"/>
    <w:rsid w:val="00634982"/>
    <w:rsid w:val="006513F2"/>
    <w:rsid w:val="006F14CC"/>
    <w:rsid w:val="00701B3C"/>
    <w:rsid w:val="00705DC9"/>
    <w:rsid w:val="00716918"/>
    <w:rsid w:val="007857AF"/>
    <w:rsid w:val="0084789F"/>
    <w:rsid w:val="00860A3C"/>
    <w:rsid w:val="008F37F6"/>
    <w:rsid w:val="00966677"/>
    <w:rsid w:val="00974AD6"/>
    <w:rsid w:val="009A2D51"/>
    <w:rsid w:val="00A17286"/>
    <w:rsid w:val="00AA2DDC"/>
    <w:rsid w:val="00AA7B18"/>
    <w:rsid w:val="00AC52CD"/>
    <w:rsid w:val="00AD192C"/>
    <w:rsid w:val="00AE3043"/>
    <w:rsid w:val="00AE4B50"/>
    <w:rsid w:val="00AF581A"/>
    <w:rsid w:val="00B05A37"/>
    <w:rsid w:val="00B455D0"/>
    <w:rsid w:val="00B663F8"/>
    <w:rsid w:val="00C60CEE"/>
    <w:rsid w:val="00C657DA"/>
    <w:rsid w:val="00C72665"/>
    <w:rsid w:val="00CA3BD1"/>
    <w:rsid w:val="00CF3A77"/>
    <w:rsid w:val="00D56B55"/>
    <w:rsid w:val="00D674E5"/>
    <w:rsid w:val="00D93CBC"/>
    <w:rsid w:val="00DB05A4"/>
    <w:rsid w:val="00DB345A"/>
    <w:rsid w:val="00DD39BC"/>
    <w:rsid w:val="00DD4E69"/>
    <w:rsid w:val="00E1185D"/>
    <w:rsid w:val="00E2341D"/>
    <w:rsid w:val="00E83984"/>
    <w:rsid w:val="00EA09F1"/>
    <w:rsid w:val="00ED0142"/>
    <w:rsid w:val="00EF5927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C1CCE"/>
  <w15:chartTrackingRefBased/>
  <w15:docId w15:val="{CC83B86E-68F6-420E-9CFC-9359197B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E3043"/>
  </w:style>
  <w:style w:type="character" w:styleId="Strong">
    <w:name w:val="Strong"/>
    <w:basedOn w:val="DefaultParagraphFont"/>
    <w:uiPriority w:val="22"/>
    <w:qFormat/>
    <w:rsid w:val="00C65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https:/mul2-moh.gov.am/tasks/855071/oneclick?token=8b24d67caa19b297ebbd95463435453b</cp:keywords>
  <dc:description/>
  <cp:lastModifiedBy>Araqsya Hambardzumyan</cp:lastModifiedBy>
  <cp:revision>3</cp:revision>
  <cp:lastPrinted>2025-04-11T13:30:00Z</cp:lastPrinted>
  <dcterms:created xsi:type="dcterms:W3CDTF">2025-06-16T08:30:00Z</dcterms:created>
  <dcterms:modified xsi:type="dcterms:W3CDTF">2025-06-16T08:39:00Z</dcterms:modified>
</cp:coreProperties>
</file>