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57B8C" w14:textId="77777777" w:rsidR="007B4152" w:rsidRPr="00AE310A" w:rsidRDefault="007B4152" w:rsidP="00243BB2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lang w:val="hy-AM"/>
        </w:rPr>
        <w:t>ՀԻՄՆԱՎՈՐՈՒՄ</w:t>
      </w:r>
    </w:p>
    <w:p w14:paraId="7061977A" w14:textId="2006B295" w:rsidR="007B4152" w:rsidRPr="00AE310A" w:rsidRDefault="007B4152" w:rsidP="00243BB2">
      <w:pPr>
        <w:pStyle w:val="NormalWeb"/>
        <w:shd w:val="clear" w:color="auto" w:fill="FFFFFF"/>
        <w:spacing w:before="0" w:after="0" w:line="360" w:lineRule="auto"/>
        <w:ind w:firstLine="720"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lang w:val="hy-AM"/>
        </w:rPr>
        <w:t>«ՊԵՏԱԿԱՆ ՏՈՒՐՔԻ ՄԱՍԻՆ» ՕՐԵՆՔՈՒՄ</w:t>
      </w:r>
      <w:r w:rsidR="00476356" w:rsidRPr="00AE310A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b/>
          <w:bCs/>
          <w:lang w:val="hy-AM"/>
        </w:rPr>
        <w:t>ԼՐԱՑՈՒՄ ԵՎ ՓՈՓՈԽՈՒԹՅՈՒՆ</w:t>
      </w:r>
      <w:r w:rsidR="00021EA4" w:rsidRPr="00AE310A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b/>
          <w:bCs/>
          <w:lang w:val="hy-AM"/>
        </w:rPr>
        <w:t>ԿԱՏԱՐԵԼՈՒ ՄԱՍԻՆ» ՕՐԵՆՔԻ ՆԱԽԱԳԾԻ</w:t>
      </w:r>
    </w:p>
    <w:p w14:paraId="6AFD198E" w14:textId="71A6471A" w:rsidR="007B4152" w:rsidRPr="00AE310A" w:rsidRDefault="007B4152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0ACA4EB5" w14:textId="6B0DF0C0" w:rsidR="007B4152" w:rsidRPr="00AE310A" w:rsidRDefault="00352A16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Ընթացիկ իրավիճակը, իրավական ակտի ա</w:t>
      </w:r>
      <w:r w:rsidR="007B4152"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նհրաժեշտությունը</w:t>
      </w:r>
    </w:p>
    <w:p w14:paraId="1DA784B3" w14:textId="633CEE87" w:rsidR="003767C6" w:rsidRPr="00AE310A" w:rsidRDefault="003767C6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bookmarkStart w:id="0" w:name="_Hlk175745115"/>
      <w:r w:rsidRPr="00AE310A">
        <w:rPr>
          <w:rFonts w:ascii="GHEA Grapalat" w:eastAsia="GHEA Grapalat" w:hAnsi="GHEA Grapalat" w:cs="GHEA Grapalat"/>
          <w:lang w:val="hy-AM"/>
        </w:rPr>
        <w:t>«Պետական տուրքի մասին» օրենքում լրացում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lang w:val="hy-AM"/>
        </w:rPr>
        <w:t xml:space="preserve">և փոփոխություն կատարելու մասին» օրենքի նախագծի (այսուհետ՝ Նախագիծ) </w:t>
      </w:r>
      <w:r w:rsidR="00622AC2" w:rsidRPr="00AE310A">
        <w:rPr>
          <w:rFonts w:ascii="GHEA Grapalat" w:eastAsia="GHEA Grapalat" w:hAnsi="GHEA Grapalat" w:cs="GHEA Grapalat"/>
          <w:lang w:val="hy-AM"/>
        </w:rPr>
        <w:t>մշակումը</w:t>
      </w:r>
      <w:r w:rsidRPr="00AE310A">
        <w:rPr>
          <w:rFonts w:ascii="GHEA Grapalat" w:eastAsia="GHEA Grapalat" w:hAnsi="GHEA Grapalat" w:cs="GHEA Grapalat"/>
          <w:lang w:val="hy-AM"/>
        </w:rPr>
        <w:t xml:space="preserve"> պայմանավորված է Հայաստանի Հանրապետությ</w:t>
      </w:r>
      <w:r w:rsidR="00FF1A50" w:rsidRPr="00AE310A">
        <w:rPr>
          <w:rFonts w:ascii="GHEA Grapalat" w:eastAsia="GHEA Grapalat" w:hAnsi="GHEA Grapalat" w:cs="GHEA Grapalat"/>
          <w:lang w:val="hy-AM"/>
        </w:rPr>
        <w:t>ու</w:t>
      </w:r>
      <w:r w:rsidRPr="00AE310A">
        <w:rPr>
          <w:rFonts w:ascii="GHEA Grapalat" w:eastAsia="GHEA Grapalat" w:hAnsi="GHEA Grapalat" w:cs="GHEA Grapalat"/>
          <w:lang w:val="hy-AM"/>
        </w:rPr>
        <w:t>ն</w:t>
      </w:r>
      <w:r w:rsidR="00FF1A50" w:rsidRPr="00AE310A">
        <w:rPr>
          <w:rFonts w:ascii="GHEA Grapalat" w:eastAsia="GHEA Grapalat" w:hAnsi="GHEA Grapalat" w:cs="GHEA Grapalat"/>
          <w:lang w:val="hy-AM"/>
        </w:rPr>
        <w:t>ում</w:t>
      </w:r>
      <w:r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Pr="00AE310A">
        <w:rPr>
          <w:rFonts w:ascii="GHEA Grapalat" w:eastAsia="Times New Roman" w:hAnsi="GHEA Grapalat" w:cs="Sylfaen"/>
          <w:lang w:val="hy-AM" w:eastAsia="ru-RU"/>
        </w:rPr>
        <w:t>մշակող արդյունաբերության գերակա ճյուղ</w:t>
      </w:r>
      <w:r w:rsidRPr="00AE310A">
        <w:rPr>
          <w:rFonts w:ascii="GHEA Grapalat" w:eastAsia="GHEA Grapalat" w:hAnsi="GHEA Grapalat" w:cs="GHEA Grapalat"/>
          <w:lang w:val="hy-AM"/>
        </w:rPr>
        <w:t xml:space="preserve"> համարվող ծանր արդյունաբերության </w:t>
      </w:r>
      <w:r w:rsidR="00622AC2" w:rsidRPr="00AE310A">
        <w:rPr>
          <w:rFonts w:ascii="GHEA Grapalat" w:eastAsia="GHEA Grapalat" w:hAnsi="GHEA Grapalat" w:cs="GHEA Grapalat"/>
          <w:lang w:val="hy-AM"/>
        </w:rPr>
        <w:t xml:space="preserve">խթանման, ինչպես նաև </w:t>
      </w:r>
      <w:r w:rsidRPr="00AE310A">
        <w:rPr>
          <w:rFonts w:ascii="GHEA Grapalat" w:eastAsia="GHEA Grapalat" w:hAnsi="GHEA Grapalat" w:cs="GHEA Grapalat"/>
          <w:lang w:val="hy-AM"/>
        </w:rPr>
        <w:t xml:space="preserve">ռազմավարական նշանակություն ունեցող ապրանքների (սև մետաղների) ներքին արտադրության </w:t>
      </w:r>
      <w:r w:rsidR="00D409D9" w:rsidRPr="00AE310A">
        <w:rPr>
          <w:rFonts w:ascii="GHEA Grapalat" w:eastAsia="GHEA Grapalat" w:hAnsi="GHEA Grapalat" w:cs="GHEA Grapalat"/>
          <w:lang w:val="hy-AM"/>
        </w:rPr>
        <w:t>և</w:t>
      </w:r>
      <w:r w:rsidRPr="00AE310A">
        <w:rPr>
          <w:rFonts w:ascii="GHEA Grapalat" w:eastAsia="GHEA Grapalat" w:hAnsi="GHEA Grapalat" w:cs="GHEA Grapalat"/>
          <w:lang w:val="hy-AM"/>
        </w:rPr>
        <w:t xml:space="preserve"> առևտրի կանոնակարգման անհրաժեշտությամբ։</w:t>
      </w:r>
    </w:p>
    <w:bookmarkEnd w:id="0"/>
    <w:p w14:paraId="1E15A4C5" w14:textId="4D16C0E6" w:rsidR="00692D48" w:rsidRPr="00AE310A" w:rsidRDefault="00692D48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Նպատակ ունենալով </w:t>
      </w:r>
      <w:r w:rsidR="003767C6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զարգացնել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առավել բարձր ավելացված արժեք ունեցող ապրանքների արտադրությունն ու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հումքային ռեսուրսների </w:t>
      </w:r>
      <w:r w:rsidR="0010256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ներքին սպառումը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՝ ՀՀ կառավարությ</w:t>
      </w:r>
      <w:r w:rsidR="009915D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մի շարք որոշումներով արգելել է սև և գունավոր մետաղների ջարդոնի </w:t>
      </w:r>
      <w:r w:rsidR="00916559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դրանց պարունակությամբ 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թափոն</w:t>
      </w:r>
      <w:r w:rsidR="00622AC2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արտահանումը</w:t>
      </w:r>
      <w:r w:rsidR="00EF159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։ Նշված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սահմանափակումներն ուղղված են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տեղում սև և գունավոր մետաղների ջարդոն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վերամշակ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ան, թափոններից մետաղների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կորզման և</w:t>
      </w:r>
      <w:r w:rsidR="000C69AE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առավել բարձր ավելացված արժեքով արտադրանք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916559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ե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րի</w:t>
      </w:r>
      <w:r w:rsidR="00DC054D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արտադր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ությ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</w:t>
      </w:r>
      <w:r w:rsidR="002628A4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622AC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խթանմանը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14:paraId="56BA299C" w14:textId="1D335CCB" w:rsidR="0013794D" w:rsidRPr="00AE310A" w:rsidRDefault="00622AC2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Ներկայումս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Հանրապետությունում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գործում են «Չարենցավանի հաստոցաշինական գործարան» ԲԲԸ, «Նիկոլ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ուման» ԱԿ, «Ձուլակենտրոն»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A397E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կառուցվում ու վերակառուցվում են  «Ջի Թի Բի սթիլ» ՍՊԸ, «Քարակերտի քարաձուլման  գործարան» ԲԲԸ ձուլարանները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որոնք միտված են 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ապահովելու </w:t>
      </w:r>
      <w:r w:rsidR="007B4C5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անրապետությունում</w:t>
      </w:r>
      <w:r w:rsidR="00916559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մետալուրգիական ոլորտի </w:t>
      </w:r>
      <w:r w:rsidR="00E2057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ռազմավարական զարգացման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տեսլականը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  <w:bookmarkStart w:id="1" w:name="_Hlk175745186"/>
      <w:r w:rsidR="004F0A60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անրապետությունում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 և կառուցվող</w:t>
      </w:r>
      <w:r w:rsidR="009F46A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ձուլարանների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արտադրական հնարավորությունները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հնարավորություն կտան ավելացնել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պողպատե ամրաններ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տեղակա</w:t>
      </w:r>
      <w:r w:rsidR="00051AD8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արտադրության ծավալները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ուստի</w:t>
      </w:r>
      <w:r w:rsidR="00720337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՝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անհրաժեշտություն է առաջացել 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ապահովել հավասար մրցակցային պայմաններ տեղական արտաղրողների կողմից թողարկվող և երրորդ երկրներից ներմուծվող նույնանման ապրանք</w:t>
      </w:r>
      <w:r w:rsidR="009915D4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</w:t>
      </w:r>
      <w:r w:rsidR="009F46AD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միջև։</w:t>
      </w:r>
    </w:p>
    <w:p w14:paraId="567B8FF1" w14:textId="35347A6A" w:rsidR="00080843" w:rsidRPr="00AE310A" w:rsidRDefault="00080843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«Պետական տուրքի մասին» օրենքի 19.6-րդ հոդվածով սահմանված են «Առևտրի և ծառայությունների մասին» օրենքով նախատեսված ապրանքներ արտահանելու և (կամ) ներմուծելու լիցենզիաներ կամ թույլտվություններ կամ հավաստագրեր (կամ դրանց կրկնօրինակներ) տրամադրելու համար պետական տուրքի դրույքաչափերը։</w:t>
      </w:r>
    </w:p>
    <w:p w14:paraId="593EA5B2" w14:textId="512B232B" w:rsidR="00D409D9" w:rsidRPr="00AE310A" w:rsidRDefault="00080843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AE310A">
        <w:rPr>
          <w:rFonts w:ascii="GHEA Grapalat" w:eastAsia="GHEA Grapalat" w:hAnsi="GHEA Grapalat" w:cs="GHEA Grapalat"/>
          <w:lang w:val="hy-AM"/>
        </w:rPr>
        <w:t>Ն</w:t>
      </w:r>
      <w:r w:rsidR="005D39B0" w:rsidRPr="00AE310A">
        <w:rPr>
          <w:rFonts w:ascii="GHEA Grapalat" w:eastAsia="GHEA Grapalat" w:hAnsi="GHEA Grapalat" w:cs="GHEA Grapalat"/>
          <w:lang w:val="hy-AM"/>
        </w:rPr>
        <w:t xml:space="preserve">ախագծով </w:t>
      </w:r>
      <w:r w:rsidRPr="00AE310A">
        <w:rPr>
          <w:rFonts w:ascii="GHEA Grapalat" w:eastAsia="GHEA Grapalat" w:hAnsi="GHEA Grapalat" w:cs="GHEA Grapalat"/>
          <w:lang w:val="hy-AM"/>
        </w:rPr>
        <w:t xml:space="preserve">առաջարկվում է լրացում կատարել </w:t>
      </w:r>
      <w:r w:rsidRPr="00AE310A">
        <w:rPr>
          <w:rFonts w:ascii="GHEA Grapalat" w:hAnsi="GHEA Grapalat"/>
          <w:shd w:val="clear" w:color="auto" w:fill="FFFFFF"/>
          <w:lang w:val="hy-AM"/>
        </w:rPr>
        <w:t>«Պետական տուրքի մասին» օրենքի 19.6-րդ հոդվածում՝</w:t>
      </w:r>
      <w:r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051AD8" w:rsidRPr="00AE310A">
        <w:rPr>
          <w:rFonts w:ascii="GHEA Grapalat" w:eastAsia="GHEA Grapalat" w:hAnsi="GHEA Grapalat" w:cs="GHEA Grapalat"/>
          <w:lang w:val="hy-AM"/>
        </w:rPr>
        <w:t>ԵԱՏՄ Ա</w:t>
      </w:r>
      <w:r w:rsidR="003715E1" w:rsidRPr="00AE310A">
        <w:rPr>
          <w:rFonts w:ascii="GHEA Grapalat" w:eastAsia="GHEA Grapalat" w:hAnsi="GHEA Grapalat" w:cs="GHEA Grapalat"/>
          <w:lang w:val="hy-AM"/>
        </w:rPr>
        <w:t>Տ</w:t>
      </w:r>
      <w:r w:rsidR="00051AD8" w:rsidRPr="00AE310A">
        <w:rPr>
          <w:rFonts w:ascii="GHEA Grapalat" w:eastAsia="GHEA Grapalat" w:hAnsi="GHEA Grapalat" w:cs="GHEA Grapalat"/>
          <w:lang w:val="hy-AM"/>
        </w:rPr>
        <w:t xml:space="preserve">Գ ԱԱ </w:t>
      </w:r>
      <w:r w:rsidR="00DC054D" w:rsidRPr="00AE310A">
        <w:rPr>
          <w:rFonts w:ascii="GHEA Grapalat" w:eastAsia="GHEA Grapalat" w:hAnsi="GHEA Grapalat" w:cs="GHEA Grapalat"/>
          <w:lang w:val="hy-AM"/>
        </w:rPr>
        <w:t>7214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DC054D" w:rsidRPr="00AE310A">
        <w:rPr>
          <w:rFonts w:ascii="GHEA Grapalat" w:eastAsia="GHEA Grapalat" w:hAnsi="GHEA Grapalat" w:cs="GHEA Grapalat"/>
          <w:lang w:val="hy-AM"/>
        </w:rPr>
        <w:t xml:space="preserve">և </w:t>
      </w:r>
      <w:r w:rsidR="00DC054D" w:rsidRPr="00AE310A">
        <w:rPr>
          <w:rFonts w:ascii="GHEA Grapalat" w:hAnsi="GHEA Grapalat"/>
          <w:lang w:val="hy-AM"/>
        </w:rPr>
        <w:t>721</w:t>
      </w:r>
      <w:r w:rsidR="001964D5" w:rsidRPr="00AE310A">
        <w:rPr>
          <w:rFonts w:ascii="GHEA Grapalat" w:hAnsi="GHEA Grapalat"/>
          <w:lang w:val="hy-AM"/>
        </w:rPr>
        <w:t>5</w:t>
      </w:r>
      <w:r w:rsidR="004F0A60" w:rsidRPr="00AE310A">
        <w:rPr>
          <w:rFonts w:ascii="GHEA Grapalat" w:hAnsi="GHEA Grapalat"/>
          <w:lang w:val="hy-AM"/>
        </w:rPr>
        <w:t xml:space="preserve"> </w:t>
      </w:r>
      <w:r w:rsidR="001964D5" w:rsidRPr="00AE310A">
        <w:rPr>
          <w:rFonts w:ascii="GHEA Grapalat" w:hAnsi="GHEA Grapalat"/>
          <w:lang w:val="hy-AM"/>
        </w:rPr>
        <w:t xml:space="preserve">ապրանքային խմբերին </w:t>
      </w:r>
      <w:r w:rsidR="00051AD8" w:rsidRPr="00AE310A">
        <w:rPr>
          <w:rFonts w:ascii="GHEA Grapalat" w:eastAsia="GHEA Grapalat" w:hAnsi="GHEA Grapalat" w:cs="GHEA Grapalat"/>
          <w:lang w:val="hy-AM"/>
        </w:rPr>
        <w:t>դասվող՝</w:t>
      </w:r>
      <w:r w:rsidR="00DC054D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A71856" w:rsidRPr="00AE310A">
        <w:rPr>
          <w:rFonts w:ascii="GHEA Grapalat" w:eastAsia="GHEA Grapalat" w:hAnsi="GHEA Grapalat" w:cs="GHEA Grapalat"/>
          <w:lang w:val="hy-AM"/>
        </w:rPr>
        <w:t>երրորդ երկրներից</w:t>
      </w:r>
      <w:r w:rsidR="00DC054D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A71856" w:rsidRPr="00AE310A">
        <w:rPr>
          <w:rFonts w:ascii="GHEA Grapalat" w:eastAsia="GHEA Grapalat" w:hAnsi="GHEA Grapalat" w:cs="GHEA Grapalat"/>
          <w:lang w:val="hy-AM"/>
        </w:rPr>
        <w:t xml:space="preserve">ներմուծվող ապրանքների յուրաքանչյուր 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մինչև </w:t>
      </w:r>
      <w:r w:rsidR="00A71856" w:rsidRPr="00AE310A">
        <w:rPr>
          <w:rFonts w:ascii="GHEA Grapalat" w:eastAsia="GHEA Grapalat" w:hAnsi="GHEA Grapalat" w:cs="GHEA Grapalat"/>
          <w:lang w:val="hy-AM"/>
        </w:rPr>
        <w:t>մեկ տոննայի ներմուծմա</w:t>
      </w:r>
      <w:r w:rsidR="00051AD8" w:rsidRPr="00AE310A">
        <w:rPr>
          <w:rFonts w:ascii="GHEA Grapalat" w:eastAsia="GHEA Grapalat" w:hAnsi="GHEA Grapalat" w:cs="GHEA Grapalat"/>
          <w:lang w:val="hy-AM"/>
        </w:rPr>
        <w:t>ն</w:t>
      </w:r>
      <w:r w:rsidR="00A71856" w:rsidRPr="00AE310A">
        <w:rPr>
          <w:rFonts w:ascii="GHEA Grapalat" w:eastAsia="GHEA Grapalat" w:hAnsi="GHEA Grapalat" w:cs="GHEA Grapalat"/>
          <w:lang w:val="hy-AM"/>
        </w:rPr>
        <w:t xml:space="preserve"> լիցենզիա</w:t>
      </w:r>
      <w:r w:rsidR="00051AD8" w:rsidRPr="00AE310A">
        <w:rPr>
          <w:rFonts w:ascii="GHEA Grapalat" w:eastAsia="GHEA Grapalat" w:hAnsi="GHEA Grapalat" w:cs="GHEA Grapalat"/>
          <w:lang w:val="hy-AM"/>
        </w:rPr>
        <w:t>յի</w:t>
      </w:r>
      <w:r w:rsidR="00A71856" w:rsidRPr="00AE310A">
        <w:rPr>
          <w:rFonts w:ascii="GHEA Grapalat" w:eastAsia="GHEA Grapalat" w:hAnsi="GHEA Grapalat" w:cs="GHEA Grapalat"/>
          <w:lang w:val="hy-AM"/>
        </w:rPr>
        <w:t xml:space="preserve"> տրամադ</w:t>
      </w:r>
      <w:r w:rsidR="00051AD8" w:rsidRPr="00AE310A">
        <w:rPr>
          <w:rFonts w:ascii="GHEA Grapalat" w:eastAsia="GHEA Grapalat" w:hAnsi="GHEA Grapalat" w:cs="GHEA Grapalat"/>
          <w:lang w:val="hy-AM"/>
        </w:rPr>
        <w:t>րման</w:t>
      </w:r>
      <w:r w:rsidR="00A71856" w:rsidRPr="00AE310A">
        <w:rPr>
          <w:rFonts w:ascii="GHEA Grapalat" w:eastAsia="GHEA Grapalat" w:hAnsi="GHEA Grapalat" w:cs="GHEA Grapalat"/>
          <w:lang w:val="hy-AM"/>
        </w:rPr>
        <w:t xml:space="preserve"> համար </w:t>
      </w:r>
      <w:r w:rsidR="00DC054D" w:rsidRPr="00AE310A">
        <w:rPr>
          <w:rFonts w:ascii="GHEA Grapalat" w:eastAsia="GHEA Grapalat" w:hAnsi="GHEA Grapalat" w:cs="GHEA Grapalat"/>
          <w:lang w:val="hy-AM"/>
        </w:rPr>
        <w:t>սահմանել</w:t>
      </w:r>
      <w:r w:rsidRPr="00AE310A">
        <w:rPr>
          <w:rFonts w:ascii="GHEA Grapalat" w:eastAsia="GHEA Grapalat" w:hAnsi="GHEA Grapalat" w:cs="GHEA Grapalat"/>
          <w:lang w:val="hy-AM"/>
        </w:rPr>
        <w:t>ով</w:t>
      </w:r>
      <w:r w:rsidR="00DC054D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5D39B0" w:rsidRPr="00AE310A">
        <w:rPr>
          <w:rFonts w:ascii="GHEA Grapalat" w:hAnsi="GHEA Grapalat"/>
          <w:lang w:val="hy-AM"/>
        </w:rPr>
        <w:t xml:space="preserve">պետական </w:t>
      </w:r>
      <w:r w:rsidR="00901613" w:rsidRPr="00AE310A">
        <w:rPr>
          <w:rFonts w:ascii="GHEA Grapalat" w:eastAsia="GHEA Grapalat" w:hAnsi="GHEA Grapalat" w:cs="GHEA Grapalat"/>
          <w:lang w:val="hy-AM"/>
        </w:rPr>
        <w:t xml:space="preserve">տուրք՝ բազային տուրքի </w:t>
      </w:r>
      <w:r w:rsidR="005A1CEB">
        <w:rPr>
          <w:rFonts w:ascii="GHEA Grapalat" w:eastAsia="GHEA Grapalat" w:hAnsi="GHEA Grapalat" w:cs="GHEA Grapalat"/>
          <w:lang w:val="hy-AM"/>
        </w:rPr>
        <w:t>29</w:t>
      </w:r>
      <w:r w:rsidR="00901613" w:rsidRPr="00AE310A">
        <w:rPr>
          <w:rFonts w:ascii="GHEA Grapalat" w:eastAsia="GHEA Grapalat" w:hAnsi="GHEA Grapalat" w:cs="GHEA Grapalat"/>
          <w:lang w:val="hy-AM"/>
        </w:rPr>
        <w:t>-ապատիկի չափով</w:t>
      </w:r>
      <w:r w:rsidR="00DC054D" w:rsidRPr="00AE310A">
        <w:rPr>
          <w:rFonts w:ascii="GHEA Grapalat" w:hAnsi="GHEA Grapalat"/>
          <w:lang w:val="hy-AM"/>
        </w:rPr>
        <w:t>։</w:t>
      </w:r>
    </w:p>
    <w:p w14:paraId="69165415" w14:textId="6446B3AC" w:rsidR="00080843" w:rsidRPr="00AE310A" w:rsidRDefault="00080843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AE310A">
        <w:rPr>
          <w:rFonts w:ascii="GHEA Grapalat" w:hAnsi="GHEA Grapalat"/>
          <w:lang w:val="hy-AM"/>
        </w:rPr>
        <w:t xml:space="preserve">Միաժամանակ, վերոնշյալ օրենքի 38-րդ հոդվածում փոփոխություն կատարելով նախատեսվում է ամրագրել նախատեսված պետական տուրքը վերադարձման ենթակա չլինելու դրույթ՝ անկախ ներկրման գործընթացի փաստացի արդյունքներից։ </w:t>
      </w:r>
    </w:p>
    <w:p w14:paraId="0767CBD1" w14:textId="77777777" w:rsidR="00080843" w:rsidRPr="00AE310A" w:rsidRDefault="00080843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bookmarkEnd w:id="1"/>
    <w:p w14:paraId="04700F0F" w14:textId="7462AAC8" w:rsidR="000F32E1" w:rsidRPr="00AE310A" w:rsidRDefault="000F32E1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u w:val="single"/>
          <w:lang w:val="hy-AM"/>
        </w:rPr>
        <w:t>Աղյուսակ 1</w:t>
      </w:r>
    </w:p>
    <w:p w14:paraId="2001D3E5" w14:textId="1924B09A" w:rsidR="00720337" w:rsidRPr="00AE310A" w:rsidRDefault="00593EAC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2022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– 202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4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թ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վականներին</w:t>
      </w:r>
      <w:r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Հայաստան </w:t>
      </w:r>
      <w:r w:rsidR="00A10362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ներմուծված</w:t>
      </w:r>
      <w:r w:rsidR="00BA10D3" w:rsidRPr="00AE310A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`</w:t>
      </w:r>
    </w:p>
    <w:p w14:paraId="5A7954DA" w14:textId="273DB20E" w:rsidR="00BA10D3" w:rsidRPr="00AE310A" w:rsidRDefault="001964D5" w:rsidP="00243BB2">
      <w:pPr>
        <w:pStyle w:val="Body"/>
        <w:spacing w:after="0" w:line="360" w:lineRule="auto"/>
        <w:ind w:firstLine="720"/>
        <w:jc w:val="right"/>
        <w:rPr>
          <w:rFonts w:ascii="GHEA Grapalat" w:eastAsia="GHEA Grapalat" w:hAnsi="GHEA Grapalat" w:cs="GHEA Grapalat"/>
          <w:color w:val="auto"/>
          <w:sz w:val="20"/>
          <w:szCs w:val="20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ԵԱՏՄ ԱՏԳ ԱԱ 7214 և </w:t>
      </w:r>
      <w:r w:rsidRPr="00AE310A">
        <w:rPr>
          <w:rFonts w:ascii="GHEA Grapalat" w:hAnsi="GHEA Grapalat"/>
          <w:sz w:val="24"/>
          <w:szCs w:val="24"/>
          <w:lang w:val="hy-AM"/>
        </w:rPr>
        <w:t xml:space="preserve">7215 ապրանքային խմբերին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դասվող ապրանքներ</w:t>
      </w:r>
      <w:r w:rsidR="00CD329A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*</w:t>
      </w:r>
    </w:p>
    <w:tbl>
      <w:tblPr>
        <w:tblW w:w="10180" w:type="dxa"/>
        <w:tblInd w:w="-275" w:type="dxa"/>
        <w:tblLook w:val="04A0" w:firstRow="1" w:lastRow="0" w:firstColumn="1" w:lastColumn="0" w:noHBand="0" w:noVBand="1"/>
      </w:tblPr>
      <w:tblGrid>
        <w:gridCol w:w="2101"/>
        <w:gridCol w:w="1749"/>
        <w:gridCol w:w="2291"/>
        <w:gridCol w:w="1748"/>
        <w:gridCol w:w="2291"/>
      </w:tblGrid>
      <w:tr w:rsidR="00BA10D3" w:rsidRPr="00AE310A" w14:paraId="57E7ADFA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571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2022 թվական</w:t>
            </w:r>
          </w:p>
        </w:tc>
      </w:tr>
      <w:tr w:rsidR="00BA10D3" w:rsidRPr="00AE310A" w14:paraId="2AF9DA3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43B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5D10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F9AB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BA10D3" w:rsidRPr="00AE310A" w14:paraId="5B4D6F95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E8D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64F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4E3D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33C5653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1AA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37C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2A38ACE4" w14:textId="77777777" w:rsidR="00BA10D3" w:rsidRPr="00AE310A" w:rsidRDefault="00BA10D3" w:rsidP="003257F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08D0BB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903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C7B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117,597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E95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37,112,421.3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2A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84,515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D16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24,293,163.4</w:t>
            </w:r>
          </w:p>
        </w:tc>
      </w:tr>
      <w:tr w:rsidR="00CD329A" w:rsidRPr="00AE310A" w14:paraId="046B3AE9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A7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B0B71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2B90E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245,831.7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2211B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EC8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175,731.2</w:t>
            </w:r>
          </w:p>
        </w:tc>
      </w:tr>
      <w:tr w:rsidR="00CD329A" w:rsidRPr="00AE310A" w14:paraId="603895AA" w14:textId="77777777" w:rsidTr="00D74F35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F4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05AA1" w14:textId="7162F794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118,069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1C2A8" w14:textId="7CC0EF09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37,358,253.0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7DA6" w14:textId="109F194B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84,837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223E" w14:textId="429A10D0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24,468,894.7</w:t>
            </w:r>
          </w:p>
        </w:tc>
      </w:tr>
      <w:tr w:rsidR="00CD329A" w:rsidRPr="00AE310A" w14:paraId="57EE8595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7F6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0A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E6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7C9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F6EE788" w14:textId="71FF153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078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D329A" w:rsidRPr="00AE310A" w14:paraId="0D4CBFB3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02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2023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թվական</w:t>
            </w:r>
          </w:p>
        </w:tc>
      </w:tr>
      <w:tr w:rsidR="00CD329A" w:rsidRPr="00AE310A" w14:paraId="11976F96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1B94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  <w:p w14:paraId="5462F3FE" w14:textId="77777777" w:rsidR="00CD329A" w:rsidRPr="00AE310A" w:rsidRDefault="00CD329A" w:rsidP="00CD329A">
            <w:pP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96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8D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4623B71E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7F8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DE3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F0BBF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48D26C7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CF0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D39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7A37B4E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76850DE6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3EB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AA1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160,598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C929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35,160,756.7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F7B4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133,130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FC6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28,499,584.4</w:t>
            </w:r>
          </w:p>
        </w:tc>
      </w:tr>
      <w:tr w:rsidR="00CD329A" w:rsidRPr="00AE310A" w14:paraId="15E49F34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34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6D3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266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8EED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145,227.3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CE53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346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410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110,199.6</w:t>
            </w:r>
          </w:p>
        </w:tc>
      </w:tr>
      <w:tr w:rsidR="00CD329A" w:rsidRPr="00AE310A" w14:paraId="173E2014" w14:textId="77777777" w:rsidTr="00245844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CB3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3760" w14:textId="6A1924FD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160,864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2821" w14:textId="61ACFE5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35,305,984.0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540C" w14:textId="44A60FD2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133,476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5D4D" w14:textId="31B9B851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28,609,784.0</w:t>
            </w:r>
          </w:p>
        </w:tc>
      </w:tr>
      <w:tr w:rsidR="00CD329A" w:rsidRPr="00AE310A" w14:paraId="4196CE4D" w14:textId="77777777" w:rsidTr="003257F3">
        <w:trPr>
          <w:trHeight w:val="28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4F3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FAC6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593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8FC8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C37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</w:tc>
      </w:tr>
      <w:tr w:rsidR="00CD329A" w:rsidRPr="00AE310A" w14:paraId="1893D99C" w14:textId="77777777" w:rsidTr="003257F3">
        <w:trPr>
          <w:trHeight w:val="315"/>
        </w:trPr>
        <w:tc>
          <w:tcPr>
            <w:tcW w:w="10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58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2024 թվական</w:t>
            </w:r>
          </w:p>
        </w:tc>
      </w:tr>
      <w:tr w:rsidR="00CD329A" w:rsidRPr="00AE310A" w14:paraId="59F534C5" w14:textId="77777777" w:rsidTr="003257F3">
        <w:trPr>
          <w:trHeight w:val="315"/>
        </w:trPr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ED6A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ԱՏԳ ԱԱ ծածկագիր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011B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ներմուծում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3D8D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որից՝ ԻԻՀ</w:t>
            </w:r>
          </w:p>
        </w:tc>
      </w:tr>
      <w:tr w:rsidR="00CD329A" w:rsidRPr="00AE310A" w14:paraId="203F7940" w14:textId="77777777" w:rsidTr="003257F3">
        <w:trPr>
          <w:trHeight w:val="315"/>
        </w:trPr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E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AACC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20E9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09AD6B75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00EB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քանակ (տոննա)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7610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գումար</w:t>
            </w:r>
          </w:p>
          <w:p w14:paraId="51FE34E1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 xml:space="preserve">մլն </w:t>
            </w:r>
            <w:r w:rsidRPr="00AE310A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դրամ</w:t>
            </w: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)</w:t>
            </w:r>
          </w:p>
        </w:tc>
      </w:tr>
      <w:tr w:rsidR="00CD329A" w:rsidRPr="00AE310A" w14:paraId="65E5C9AE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0771C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3A1F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197,988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0A60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40,947,746.8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600A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163,770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13C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32,739,415.2</w:t>
            </w:r>
          </w:p>
        </w:tc>
      </w:tr>
      <w:tr w:rsidR="00CD329A" w:rsidRPr="00AE310A" w14:paraId="327956E2" w14:textId="77777777" w:rsidTr="00CD329A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F2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7215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4CF8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367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5BEE0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174,059.7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89016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474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C6772" w14:textId="77777777" w:rsidR="00CD329A" w:rsidRPr="00CD329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CD329A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127,913.6</w:t>
            </w:r>
          </w:p>
        </w:tc>
      </w:tr>
      <w:tr w:rsidR="00CD329A" w:rsidRPr="00AE310A" w14:paraId="4AB42C92" w14:textId="77777777" w:rsidTr="00BE6C1F">
        <w:trPr>
          <w:trHeight w:val="315"/>
        </w:trPr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E72" w14:textId="7777777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B555" w14:textId="2DC714A5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198,355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86762" w14:textId="496FD216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41,121,806.5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C47D" w14:textId="61DB6F28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164,244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8B77E" w14:textId="3A443137" w:rsidR="00CD329A" w:rsidRPr="00AE310A" w:rsidRDefault="00CD329A" w:rsidP="00CD329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AE310A">
              <w:rPr>
                <w:rFonts w:ascii="GHEA Grapalat" w:hAnsi="GHEA Grapalat" w:cs="Calibri"/>
                <w:b/>
                <w:bCs/>
                <w:color w:val="000000"/>
              </w:rPr>
              <w:t>32,867,328.8</w:t>
            </w:r>
          </w:p>
        </w:tc>
      </w:tr>
    </w:tbl>
    <w:p w14:paraId="55D650EF" w14:textId="77777777" w:rsidR="00894CFC" w:rsidRPr="00AE310A" w:rsidRDefault="00894CF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</w:p>
    <w:p w14:paraId="57CE384C" w14:textId="46D9F9CD" w:rsidR="005B5998" w:rsidRPr="00AE310A" w:rsidRDefault="00376040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GHEA Grapalat" w:hAnsi="GHEA Grapalat" w:cs="GHEA Grapalat"/>
          <w:color w:val="000000" w:themeColor="text1"/>
          <w:lang w:val="hy-AM"/>
        </w:rPr>
      </w:pP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>Համաձայն Աղյուսակ 1-ի՝ 2022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-ից 2024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թվական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ներ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ին Հայաստանի Հանրապետություն ներմուծված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թիրախային</w:t>
      </w:r>
      <w:r w:rsidR="005B5998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051AD8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արտադրանքի</w:t>
      </w:r>
      <w:r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քանակի գերակշիռ մասը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՝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7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.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5</w:t>
      </w:r>
      <w:r w:rsidR="00894CFC" w:rsidRPr="00AE310A">
        <w:rPr>
          <w:rFonts w:ascii="GHEA Grapalat" w:eastAsia="Times New Roman" w:hAnsi="GHEA Grapalat"/>
          <w:color w:val="000000" w:themeColor="text1"/>
          <w:lang w:val="hy-AM"/>
        </w:rPr>
        <w:t>%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>-ը, իսկ գումարային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 </w:t>
      </w:r>
      <w:r w:rsidR="00F03719" w:rsidRPr="00AE310A">
        <w:rPr>
          <w:rFonts w:ascii="GHEA Grapalat" w:eastAsia="GHEA Grapalat" w:hAnsi="GHEA Grapalat" w:cs="GHEA Grapalat"/>
          <w:color w:val="000000" w:themeColor="text1"/>
          <w:lang w:val="hy-AM"/>
        </w:rPr>
        <w:t>արտահայտությամբ՝ 80.2</w:t>
      </w:r>
      <w:r w:rsidR="00F03719" w:rsidRPr="00AE310A">
        <w:rPr>
          <w:rFonts w:ascii="GHEA Grapalat" w:eastAsia="Times New Roman" w:hAnsi="GHEA Grapalat"/>
          <w:color w:val="000000" w:themeColor="text1"/>
          <w:lang w:val="hy-AM"/>
        </w:rPr>
        <w:t xml:space="preserve">%-ը 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 xml:space="preserve">ներմուծվել է </w:t>
      </w:r>
      <w:r w:rsidRPr="00AE310A">
        <w:rPr>
          <w:rFonts w:ascii="GHEA Grapalat" w:eastAsia="GHEA Grapalat" w:hAnsi="GHEA Grapalat" w:cs="Arial"/>
          <w:color w:val="000000" w:themeColor="text1"/>
          <w:lang w:val="hy-AM"/>
        </w:rPr>
        <w:t>ԻԻՀ-ից</w:t>
      </w:r>
      <w:r w:rsidR="00894CFC" w:rsidRPr="00AE310A">
        <w:rPr>
          <w:rFonts w:ascii="GHEA Grapalat" w:eastAsia="GHEA Grapalat" w:hAnsi="GHEA Grapalat" w:cs="GHEA Grapalat"/>
          <w:color w:val="000000" w:themeColor="text1"/>
          <w:lang w:val="hy-AM"/>
        </w:rPr>
        <w:t>։</w:t>
      </w:r>
    </w:p>
    <w:p w14:paraId="07D03FBA" w14:textId="1B191261" w:rsidR="0099532C" w:rsidRPr="00AE310A" w:rsidRDefault="00051AD8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Times New Roman" w:hAnsi="GHEA Grapalat" w:cs="GHEA Grapalat"/>
          <w:lang w:val="hy-AM"/>
        </w:rPr>
        <w:t>Վ</w:t>
      </w:r>
      <w:r w:rsidR="00FF1A50" w:rsidRPr="00AE310A">
        <w:rPr>
          <w:rFonts w:ascii="GHEA Grapalat" w:eastAsia="Times New Roman" w:hAnsi="GHEA Grapalat" w:cs="GHEA Grapalat"/>
          <w:lang w:val="hy-AM"/>
        </w:rPr>
        <w:t xml:space="preserve">երլուծության արդյունքում պարզ է դառնում, որ </w:t>
      </w:r>
      <w:r w:rsidR="00894CFC" w:rsidRPr="00AE310A">
        <w:rPr>
          <w:rFonts w:ascii="GHEA Grapalat" w:hAnsi="GHEA Grapalat"/>
          <w:shd w:val="clear" w:color="auto" w:fill="FFFFFF"/>
          <w:lang w:val="hy-AM"/>
        </w:rPr>
        <w:t xml:space="preserve">ԻԻՀ-ից </w:t>
      </w:r>
      <w:r w:rsidR="00FF1A50" w:rsidRPr="00AE310A">
        <w:rPr>
          <w:rFonts w:ascii="GHEA Grapalat" w:eastAsia="GHEA Grapalat" w:hAnsi="GHEA Grapalat" w:cs="GHEA Grapalat"/>
          <w:lang w:val="hy-AM"/>
        </w:rPr>
        <w:t>7214</w:t>
      </w:r>
      <w:r w:rsidR="004F0A60" w:rsidRPr="00AE310A">
        <w:rPr>
          <w:rFonts w:ascii="GHEA Grapalat" w:eastAsia="GHEA Grapalat" w:hAnsi="GHEA Grapalat" w:cs="GHEA Grapalat"/>
          <w:lang w:val="hy-AM"/>
        </w:rPr>
        <w:t xml:space="preserve"> </w:t>
      </w:r>
      <w:r w:rsidR="00AE310A" w:rsidRPr="00AE310A">
        <w:rPr>
          <w:rFonts w:ascii="GHEA Grapalat" w:eastAsia="GHEA Grapalat" w:hAnsi="GHEA Grapalat" w:cs="GHEA Grapalat"/>
          <w:lang w:val="hy-AM"/>
        </w:rPr>
        <w:t>ապրանքային դիրքին դասվող</w:t>
      </w:r>
      <w:r w:rsidR="00FF1A50" w:rsidRPr="00AE310A">
        <w:rPr>
          <w:rFonts w:ascii="GHEA Grapalat" w:eastAsia="GHEA Grapalat" w:hAnsi="GHEA Grapalat" w:cs="GHEA Grapalat"/>
          <w:lang w:val="hy-AM"/>
        </w:rPr>
        <w:t xml:space="preserve"> ապրանքների</w:t>
      </w:r>
      <w:r w:rsidR="00AE310A" w:rsidRPr="00AE310A">
        <w:rPr>
          <w:rFonts w:ascii="GHEA Grapalat" w:eastAsia="GHEA Grapalat" w:hAnsi="GHEA Grapalat" w:cs="GHEA Grapalat"/>
          <w:lang w:val="hy-AM"/>
        </w:rPr>
        <w:t xml:space="preserve"> (պողպատե ամրանների)</w:t>
      </w:r>
      <w:r w:rsidR="00FF1A50" w:rsidRPr="00AE310A">
        <w:rPr>
          <w:rFonts w:ascii="GHEA Grapalat" w:hAnsi="GHEA Grapalat"/>
          <w:shd w:val="clear" w:color="auto" w:fill="FFFFFF"/>
          <w:lang w:val="hy-AM"/>
        </w:rPr>
        <w:t xml:space="preserve"> 1 տոննայի </w:t>
      </w:r>
      <w:r w:rsidR="00FF1A50" w:rsidRPr="00AE310A">
        <w:rPr>
          <w:rFonts w:ascii="GHEA Grapalat" w:eastAsia="Times New Roman" w:hAnsi="GHEA Grapalat"/>
          <w:lang w:val="hy-AM"/>
        </w:rPr>
        <w:t xml:space="preserve">գինը </w:t>
      </w:r>
      <w:r w:rsidRPr="00AE310A">
        <w:rPr>
          <w:rFonts w:ascii="GHEA Grapalat" w:eastAsia="Times New Roman" w:hAnsi="GHEA Grapalat"/>
          <w:lang w:val="hy-AM"/>
        </w:rPr>
        <w:t>(</w:t>
      </w:r>
      <w:r w:rsidR="00FF1A50" w:rsidRPr="00AE310A">
        <w:rPr>
          <w:rFonts w:ascii="GHEA Grapalat" w:eastAsia="Times New Roman" w:hAnsi="GHEA Grapalat"/>
          <w:lang w:val="hy-AM"/>
        </w:rPr>
        <w:t>առանց ԱԱՀ</w:t>
      </w:r>
      <w:r w:rsidRPr="00AE310A">
        <w:rPr>
          <w:rFonts w:ascii="GHEA Grapalat" w:eastAsia="Times New Roman" w:hAnsi="GHEA Grapalat"/>
          <w:lang w:val="hy-AM"/>
        </w:rPr>
        <w:t>)</w:t>
      </w:r>
      <w:r w:rsidR="00FF1A50" w:rsidRPr="00AE310A">
        <w:rPr>
          <w:rFonts w:ascii="GHEA Grapalat" w:eastAsia="Times New Roman" w:hAnsi="GHEA Grapalat"/>
          <w:lang w:val="hy-AM"/>
        </w:rPr>
        <w:t xml:space="preserve"> Հայաստանում կազմում է </w:t>
      </w:r>
      <w:r w:rsidR="00AE310A" w:rsidRPr="00AE310A">
        <w:rPr>
          <w:rFonts w:ascii="GHEA Grapalat" w:eastAsia="Times New Roman" w:hAnsi="GHEA Grapalat"/>
          <w:lang w:val="hy-AM"/>
        </w:rPr>
        <w:t>200</w:t>
      </w:r>
      <w:r w:rsidR="00FF1A50" w:rsidRPr="00AE310A">
        <w:rPr>
          <w:rFonts w:ascii="GHEA Grapalat" w:eastAsia="Times New Roman" w:hAnsi="GHEA Grapalat"/>
          <w:lang w:val="hy-AM"/>
        </w:rPr>
        <w:t>.000–ից 2</w:t>
      </w:r>
      <w:r w:rsidR="00AE310A" w:rsidRPr="00AE310A">
        <w:rPr>
          <w:rFonts w:ascii="GHEA Grapalat" w:eastAsia="Times New Roman" w:hAnsi="GHEA Grapalat"/>
          <w:lang w:val="hy-AM"/>
        </w:rPr>
        <w:t>0</w:t>
      </w:r>
      <w:r w:rsidR="00FF1A50" w:rsidRPr="00AE310A">
        <w:rPr>
          <w:rFonts w:ascii="GHEA Grapalat" w:eastAsia="Times New Roman" w:hAnsi="GHEA Grapalat"/>
          <w:lang w:val="hy-AM"/>
        </w:rPr>
        <w:t>5.000 դրամ։</w:t>
      </w:r>
    </w:p>
    <w:p w14:paraId="3FF952B4" w14:textId="04DD6EA7" w:rsidR="0099532C" w:rsidRPr="00AE310A" w:rsidRDefault="0099532C" w:rsidP="00243BB2">
      <w:pPr>
        <w:pStyle w:val="NormalWeb"/>
        <w:shd w:val="clear" w:color="auto" w:fill="FFFFFF"/>
        <w:spacing w:before="0" w:after="0" w:line="360" w:lineRule="auto"/>
        <w:ind w:firstLine="720"/>
        <w:jc w:val="both"/>
        <w:rPr>
          <w:rFonts w:ascii="GHEA Grapalat" w:eastAsia="Times New Roman" w:hAnsi="GHEA Grapalat"/>
          <w:lang w:val="hy-AM"/>
        </w:rPr>
      </w:pPr>
      <w:r w:rsidRPr="00AE310A">
        <w:rPr>
          <w:rFonts w:ascii="GHEA Grapalat" w:eastAsia="GHEA Grapalat" w:hAnsi="GHEA Grapalat" w:cs="GHEA Grapalat"/>
          <w:lang w:val="hy-AM"/>
        </w:rPr>
        <w:t>Հայաստա</w:t>
      </w:r>
      <w:r w:rsidRPr="00AE310A">
        <w:rPr>
          <w:rFonts w:ascii="GHEA Grapalat" w:eastAsia="Times New Roman" w:hAnsi="GHEA Grapalat"/>
          <w:lang w:val="hy-AM"/>
        </w:rPr>
        <w:t xml:space="preserve">նում արտադրվող </w:t>
      </w:r>
      <w:r w:rsidR="00AE310A" w:rsidRPr="00AE310A">
        <w:rPr>
          <w:rFonts w:ascii="GHEA Grapalat" w:eastAsia="Times New Roman" w:hAnsi="GHEA Grapalat"/>
          <w:lang w:val="hy-AM"/>
        </w:rPr>
        <w:t xml:space="preserve">1 տոննա </w:t>
      </w:r>
      <w:r w:rsidRPr="00AE310A">
        <w:rPr>
          <w:rFonts w:ascii="GHEA Grapalat" w:hAnsi="GHEA Grapalat"/>
          <w:shd w:val="clear" w:color="auto" w:fill="FFFFFF"/>
          <w:lang w:val="hy-AM"/>
        </w:rPr>
        <w:t xml:space="preserve">պողպատե ամրանի </w:t>
      </w:r>
      <w:r w:rsidRPr="00AE310A">
        <w:rPr>
          <w:rFonts w:ascii="GHEA Grapalat" w:eastAsia="Times New Roman" w:hAnsi="GHEA Grapalat"/>
          <w:lang w:val="hy-AM"/>
        </w:rPr>
        <w:t xml:space="preserve">մասով կատարված ծախսերը կազմում </w:t>
      </w:r>
      <w:r w:rsidR="00361F7C" w:rsidRPr="00AE310A">
        <w:rPr>
          <w:rFonts w:ascii="GHEA Grapalat" w:eastAsia="Times New Roman" w:hAnsi="GHEA Grapalat"/>
          <w:lang w:val="hy-AM"/>
        </w:rPr>
        <w:t>են</w:t>
      </w:r>
      <w:r w:rsidRPr="00AE310A">
        <w:rPr>
          <w:rFonts w:ascii="GHEA Grapalat" w:eastAsia="Times New Roman" w:hAnsi="GHEA Grapalat"/>
          <w:lang w:val="hy-AM"/>
        </w:rPr>
        <w:t xml:space="preserve"> շուրջ 2</w:t>
      </w:r>
      <w:r w:rsidR="00AE310A">
        <w:rPr>
          <w:rFonts w:ascii="GHEA Grapalat" w:eastAsia="Times New Roman" w:hAnsi="GHEA Grapalat"/>
          <w:lang w:val="hy-AM"/>
        </w:rPr>
        <w:t>3</w:t>
      </w:r>
      <w:r w:rsidR="00376040" w:rsidRPr="00AE310A">
        <w:rPr>
          <w:rFonts w:ascii="GHEA Grapalat" w:eastAsia="Times New Roman" w:hAnsi="GHEA Grapalat"/>
          <w:lang w:val="hy-AM"/>
        </w:rPr>
        <w:t>0</w:t>
      </w:r>
      <w:r w:rsidRPr="00AE310A">
        <w:rPr>
          <w:rFonts w:ascii="GHEA Grapalat" w:eastAsia="Times New Roman" w:hAnsi="GHEA Grapalat"/>
          <w:lang w:val="hy-AM"/>
        </w:rPr>
        <w:t>.000</w:t>
      </w:r>
      <w:r w:rsidR="00376040" w:rsidRPr="00AE310A">
        <w:rPr>
          <w:rFonts w:ascii="GHEA Grapalat" w:eastAsia="Times New Roman" w:hAnsi="GHEA Grapalat"/>
          <w:lang w:val="hy-AM"/>
        </w:rPr>
        <w:t>-ից 250.000</w:t>
      </w:r>
      <w:r w:rsidRPr="00AE310A">
        <w:rPr>
          <w:rFonts w:ascii="GHEA Grapalat" w:eastAsia="Times New Roman" w:hAnsi="GHEA Grapalat"/>
          <w:lang w:val="hy-AM"/>
        </w:rPr>
        <w:t xml:space="preserve"> ՀՀ դրամ (վերլուծության համար հիմք հանդիսացող ցուցանիշները ՀՀ-ում գրանցված կազմակերպությունների հրապարակային ֆինանսական հաշվետվություններն են)</w:t>
      </w:r>
      <w:r w:rsidR="00FF1A50" w:rsidRPr="00AE310A">
        <w:rPr>
          <w:rFonts w:ascii="GHEA Grapalat" w:eastAsia="Times New Roman" w:hAnsi="GHEA Grapalat"/>
          <w:lang w:val="hy-AM"/>
        </w:rPr>
        <w:t>։</w:t>
      </w:r>
    </w:p>
    <w:p w14:paraId="3144B65F" w14:textId="3DEA9CAA" w:rsidR="00DD4524" w:rsidRPr="00AE310A" w:rsidRDefault="00DD4524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bookmarkStart w:id="2" w:name="_Hlk175745248"/>
      <w:r w:rsidRPr="00AE310A">
        <w:rPr>
          <w:rFonts w:ascii="GHEA Grapalat" w:hAnsi="GHEA Grapalat"/>
          <w:sz w:val="24"/>
          <w:lang w:val="hy-AM"/>
        </w:rPr>
        <w:t>Նախագծով առաջարկվող ապրանքների յուրաքանչյուր</w:t>
      </w:r>
      <w:r w:rsidR="004F0A60" w:rsidRPr="00AE310A">
        <w:rPr>
          <w:rFonts w:ascii="GHEA Grapalat" w:hAnsi="GHEA Grapalat"/>
          <w:sz w:val="24"/>
          <w:lang w:val="hy-AM"/>
        </w:rPr>
        <w:t xml:space="preserve"> մինչև</w:t>
      </w:r>
      <w:r w:rsidRPr="00AE310A">
        <w:rPr>
          <w:rFonts w:ascii="GHEA Grapalat" w:hAnsi="GHEA Grapalat"/>
          <w:sz w:val="24"/>
          <w:lang w:val="hy-AM"/>
        </w:rPr>
        <w:t xml:space="preserve"> մեկ տոննա</w:t>
      </w:r>
      <w:r w:rsidR="00AD3F8F" w:rsidRPr="00AE310A">
        <w:rPr>
          <w:rFonts w:ascii="GHEA Grapalat" w:hAnsi="GHEA Grapalat"/>
          <w:sz w:val="24"/>
          <w:lang w:val="hy-AM"/>
        </w:rPr>
        <w:t xml:space="preserve"> </w:t>
      </w:r>
      <w:r w:rsidRPr="00AE310A">
        <w:rPr>
          <w:rFonts w:ascii="GHEA Grapalat" w:hAnsi="GHEA Grapalat"/>
          <w:sz w:val="24"/>
          <w:lang w:val="hy-AM"/>
        </w:rPr>
        <w:t xml:space="preserve">ներմուծելու համար պետական տուրքը հաշվարկվել է այն տրամաբանությամբ </w:t>
      </w:r>
      <w:r w:rsidRPr="00AE310A">
        <w:rPr>
          <w:rFonts w:ascii="GHEA Grapalat" w:hAnsi="GHEA Grapalat"/>
          <w:color w:val="auto"/>
          <w:sz w:val="24"/>
          <w:lang w:val="hy-AM"/>
        </w:rPr>
        <w:t xml:space="preserve">(ներմուծված ապրանքի միջին գինը Հայաստանի Հանրապետության սահմանին հավասարեցվել է տեղում արտադրվող նույնանման ապրանքի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ինքնարժեքին), որպեսզի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ապահովենք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հավասար մոտարկված արժեք 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և մրցակցային պայմաններ</w:t>
      </w:r>
      <w:r w:rsidR="00AE310A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ներմուծված և տեղում արտադրված ապրանքների համար։</w:t>
      </w:r>
    </w:p>
    <w:bookmarkEnd w:id="2"/>
    <w:p w14:paraId="6CF2C688" w14:textId="77777777" w:rsidR="0013794D" w:rsidRPr="00AE310A" w:rsidRDefault="0013794D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69CC628" w14:textId="77777777" w:rsidR="0013794D" w:rsidRPr="00AE310A" w:rsidRDefault="0013794D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14:paraId="570C9972" w14:textId="647A23FF" w:rsidR="0013794D" w:rsidRPr="00AE310A" w:rsidRDefault="0013794D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հիմնական նպատակն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երն են՝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ապահովել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ոլորտային արտադրատեսակների շուկայում հավասար մրցակցությ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</w:t>
      </w:r>
      <w:r w:rsidR="00720337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արտադրական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ավելի երկար 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շղթաների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կիրարկումը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առավել բարձր ավելացված արժեքով տեղական ապրանքների արտադրության զարգաց</w:t>
      </w:r>
      <w:r w:rsidR="002628A4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ման խթանում։</w:t>
      </w:r>
    </w:p>
    <w:p w14:paraId="25781744" w14:textId="77777777" w:rsidR="0013794D" w:rsidRPr="00AE310A" w:rsidRDefault="0013794D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06587EDD" w14:textId="15B4E046" w:rsidR="0013794D" w:rsidRPr="00AE310A" w:rsidRDefault="0013794D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 արդյունքը</w:t>
      </w:r>
    </w:p>
    <w:p w14:paraId="1E1907D1" w14:textId="7B4320D9" w:rsidR="00F46BF0" w:rsidRPr="00AE310A" w:rsidRDefault="00F46BF0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3" w:name="_Hlk191373770"/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ախագծի ընդունումը հնարավորություն կտա</w:t>
      </w:r>
      <w:r w:rsidR="00201F8F" w:rsidRPr="00AE310A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561B4548" w14:textId="5E1BD333" w:rsidR="00F46BF0" w:rsidRPr="00AE310A" w:rsidRDefault="00201F8F" w:rsidP="00243BB2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խ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թանել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5B5998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անրապետությունում </w:t>
      </w:r>
      <w:r w:rsidR="00FF1A50" w:rsidRPr="00AE310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մշակող արդյունաբերության գերակա ճյուղ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համարվող ծանր արդյունաբերության</w:t>
      </w:r>
      <w:r w:rsidRPr="00AE310A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ոլորտում</w:t>
      </w:r>
      <w:r w:rsidR="00FF1A5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ռազմավարական նշանակություն ունեցող ապրանքների (սև մետաղների)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վերամշակ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49225463" w14:textId="7CE27AC0" w:rsidR="00F46BF0" w:rsidRPr="00AE310A" w:rsidRDefault="005B5998" w:rsidP="00243BB2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ստեղծել նոր աշխատատեղեր՝ ընդլայնելով </w:t>
      </w:r>
      <w:r w:rsidR="00361F7C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արդյունաբերական հզորությունները</w:t>
      </w:r>
      <w:r w:rsidR="002E60E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</w:t>
      </w:r>
    </w:p>
    <w:p w14:paraId="0C079405" w14:textId="24B87EA3" w:rsidR="0013794D" w:rsidRPr="00AE310A" w:rsidRDefault="00201F8F" w:rsidP="00243BB2">
      <w:pPr>
        <w:pStyle w:val="Body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շ</w:t>
      </w:r>
      <w:r w:rsidR="00F46BF0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ուկայում ապահովել ոլորտային արտադրանքների համար </w:t>
      </w:r>
      <w:r w:rsidR="0013794D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հավասար մրցակցային պայմաններ։</w:t>
      </w:r>
    </w:p>
    <w:bookmarkEnd w:id="3"/>
    <w:p w14:paraId="66FAF8F1" w14:textId="19C62BFB" w:rsidR="0013794D" w:rsidRPr="00AE310A" w:rsidRDefault="0013794D" w:rsidP="00243BB2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1712EB08" w14:textId="0CA0A20C" w:rsidR="0013794D" w:rsidRPr="00AE310A" w:rsidRDefault="0013794D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մշակման գործընթացում ներգրավված ինստիտուտները և անձի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ք</w:t>
      </w:r>
    </w:p>
    <w:p w14:paraId="118CAC0A" w14:textId="675C0BF2" w:rsidR="00767AA6" w:rsidRPr="00AE310A" w:rsidRDefault="0013794D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Նախագիծը մշակվել է ՀՀ էկոնոմիկայի նախարարության կողմից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0316E187" w14:textId="77777777" w:rsidR="00686D47" w:rsidRPr="00AE310A" w:rsidRDefault="00686D47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03B3AC7" w14:textId="77777777" w:rsidR="00D14D25" w:rsidRPr="00AE310A" w:rsidRDefault="002628A4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Այլ իրավական ակտերում </w:t>
      </w:r>
      <w:r w:rsidR="00D14D25" w:rsidRPr="00AE310A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փոփոխությունների և/կամ լրացումների անհրաժեշտությունը</w:t>
      </w:r>
    </w:p>
    <w:p w14:paraId="183AE1C6" w14:textId="62874E86" w:rsidR="00DE56DC" w:rsidRPr="00AE310A" w:rsidRDefault="00D14D25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 ընդուն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մամբ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այլ իրավական ակտերում փոփոխություններ և/կամ լրացումներ կատարելու անհրաժեշտություն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չի առաջանում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14:paraId="5A3704C4" w14:textId="77777777" w:rsidR="00CF67BE" w:rsidRPr="00AE310A" w:rsidRDefault="00CF67BE" w:rsidP="00243BB2">
      <w:pPr>
        <w:pStyle w:val="Body"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14:paraId="4FE349B2" w14:textId="0BBEBD01" w:rsidR="00D14D25" w:rsidRPr="00AE310A" w:rsidRDefault="00D14D25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ավելացում կամ նվազում</w:t>
      </w:r>
    </w:p>
    <w:p w14:paraId="0DAEC4A6" w14:textId="29FB480C" w:rsidR="00D14D25" w:rsidRPr="00AE310A" w:rsidRDefault="00162D4C" w:rsidP="00243BB2">
      <w:pPr>
        <w:pStyle w:val="Body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ումը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լրացուցիչ ֆինանսական միջոցների անհրաժեշտություն չի </w:t>
      </w: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առաջացնում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, իսկ պետական բյուջեում նախատեսվում է եկամուտների ավելացում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տարեկան մ</w:t>
      </w:r>
      <w:r w:rsidR="00894CFC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ինչև</w:t>
      </w:r>
      <w:r w:rsidR="00201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894CFC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մլ</w:t>
      </w:r>
      <w:r w:rsidR="00B815EC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րդ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դրամով՝ հաշվի առնելով թիրախային ապրանքների 202</w:t>
      </w:r>
      <w:r w:rsidR="00894CFC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201F8F" w:rsidRPr="00AE31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ներմուծման ծավալները</w:t>
      </w:r>
      <w:r w:rsidR="00D14D25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14:paraId="0ECA5535" w14:textId="77777777" w:rsidR="00D14D25" w:rsidRPr="00AE310A" w:rsidRDefault="00D14D25" w:rsidP="00243BB2">
      <w:pPr>
        <w:pStyle w:val="Body"/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</w:p>
    <w:p w14:paraId="13489A25" w14:textId="37730A24" w:rsidR="00D14D25" w:rsidRPr="00AE310A" w:rsidRDefault="00D14D25" w:rsidP="00243BB2">
      <w:pPr>
        <w:pStyle w:val="Body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</w:pP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Կապը ռազմավարական փաստա</w:t>
      </w:r>
      <w:r w:rsidR="00361F7C"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թղ</w:t>
      </w:r>
      <w:r w:rsidRPr="00AE310A">
        <w:rPr>
          <w:rFonts w:ascii="GHEA Grapalat" w:eastAsiaTheme="minorHAnsi" w:hAnsi="GHEA Grapalat" w:cstheme="minorBidi"/>
          <w:b/>
          <w:bCs/>
          <w:sz w:val="24"/>
          <w:szCs w:val="24"/>
          <w:lang w:val="hy-AM"/>
        </w:rPr>
        <w:t>թերի հետ</w:t>
      </w:r>
    </w:p>
    <w:p w14:paraId="64ABDE80" w14:textId="077E2440" w:rsidR="00AD3F8F" w:rsidRPr="00AE310A" w:rsidRDefault="00452FAE" w:rsidP="00243BB2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</w:t>
      </w:r>
      <w:r w:rsidR="00AD3F8F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որոշում,</w:t>
      </w:r>
    </w:p>
    <w:p w14:paraId="29EB8F35" w14:textId="60F40763" w:rsidR="005E312E" w:rsidRPr="00AE310A" w:rsidRDefault="00452FAE" w:rsidP="00243BB2">
      <w:pPr>
        <w:pStyle w:val="Body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ՀՀ կառավարության 2023 թվականի  ապրիլի 13-ի «Արդյունաբերության զարգացման հինգ գերակա ոլորտների հայեցակարգը հաստատելու մասին» N 534-Լ որոշում</w:t>
      </w:r>
      <w:r w:rsidR="00CF67BE" w:rsidRPr="00AE310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sectPr w:rsidR="005E312E" w:rsidRPr="00AE310A" w:rsidSect="0056364F"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17AB1" w14:textId="77777777" w:rsidR="0094470D" w:rsidRDefault="0094470D" w:rsidP="00CD329A">
      <w:pPr>
        <w:spacing w:after="0" w:line="240" w:lineRule="auto"/>
      </w:pPr>
      <w:r>
        <w:separator/>
      </w:r>
    </w:p>
  </w:endnote>
  <w:endnote w:type="continuationSeparator" w:id="0">
    <w:p w14:paraId="1C3390EB" w14:textId="77777777" w:rsidR="0094470D" w:rsidRDefault="0094470D" w:rsidP="00CD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A3E3" w14:textId="38B5000D" w:rsidR="00CD329A" w:rsidRPr="00CD329A" w:rsidRDefault="00CD329A">
    <w:pPr>
      <w:pStyle w:val="Footer"/>
      <w:rPr>
        <w:rFonts w:ascii="GHEA Grapalat" w:hAnsi="GHEA Grapalat"/>
        <w:sz w:val="20"/>
        <w:szCs w:val="20"/>
        <w:lang w:val="hy-AM"/>
      </w:rPr>
    </w:pPr>
    <w:r>
      <w:rPr>
        <w:rFonts w:ascii="GHEA Grapalat" w:hAnsi="GHEA Grapalat"/>
        <w:sz w:val="20"/>
        <w:szCs w:val="20"/>
        <w:lang w:val="hy-AM"/>
      </w:rPr>
      <w:t xml:space="preserve">* </w:t>
    </w:r>
    <w:proofErr w:type="spellStart"/>
    <w:r w:rsidRPr="00CD329A">
      <w:rPr>
        <w:rFonts w:ascii="GHEA Grapalat" w:hAnsi="GHEA Grapalat"/>
        <w:sz w:val="20"/>
        <w:szCs w:val="20"/>
      </w:rPr>
      <w:t>աղբյուրը</w:t>
    </w:r>
    <w:proofErr w:type="spellEnd"/>
    <w:r w:rsidRPr="00CD329A">
      <w:rPr>
        <w:rFonts w:ascii="GHEA Grapalat" w:hAnsi="GHEA Grapalat"/>
        <w:sz w:val="20"/>
        <w:szCs w:val="20"/>
      </w:rPr>
      <w:t xml:space="preserve">՝ </w:t>
    </w:r>
    <w:proofErr w:type="spellStart"/>
    <w:r w:rsidRPr="00CD329A">
      <w:rPr>
        <w:rFonts w:ascii="GHEA Grapalat" w:hAnsi="GHEA Grapalat"/>
        <w:sz w:val="20"/>
        <w:szCs w:val="20"/>
      </w:rPr>
      <w:t>Միջազգային</w:t>
    </w:r>
    <w:proofErr w:type="spellEnd"/>
    <w:r w:rsidRPr="00CD329A">
      <w:rPr>
        <w:rFonts w:ascii="GHEA Grapalat" w:hAnsi="GHEA Grapalat"/>
        <w:sz w:val="20"/>
        <w:szCs w:val="20"/>
      </w:rPr>
      <w:t xml:space="preserve"> </w:t>
    </w:r>
    <w:proofErr w:type="spellStart"/>
    <w:r w:rsidRPr="00CD329A">
      <w:rPr>
        <w:rFonts w:ascii="GHEA Grapalat" w:hAnsi="GHEA Grapalat"/>
        <w:sz w:val="20"/>
        <w:szCs w:val="20"/>
      </w:rPr>
      <w:t>առևտրի</w:t>
    </w:r>
    <w:proofErr w:type="spellEnd"/>
    <w:r w:rsidRPr="00CD329A">
      <w:rPr>
        <w:rFonts w:ascii="GHEA Grapalat" w:hAnsi="GHEA Grapalat"/>
        <w:sz w:val="20"/>
        <w:szCs w:val="20"/>
      </w:rPr>
      <w:t xml:space="preserve"> </w:t>
    </w:r>
    <w:proofErr w:type="spellStart"/>
    <w:r w:rsidRPr="00CD329A">
      <w:rPr>
        <w:rFonts w:ascii="GHEA Grapalat" w:hAnsi="GHEA Grapalat"/>
        <w:sz w:val="20"/>
        <w:szCs w:val="20"/>
      </w:rPr>
      <w:t>կենտրոնի</w:t>
    </w:r>
    <w:proofErr w:type="spellEnd"/>
    <w:r w:rsidRPr="00CD329A">
      <w:rPr>
        <w:rFonts w:ascii="GHEA Grapalat" w:hAnsi="GHEA Grapalat"/>
        <w:sz w:val="20"/>
        <w:szCs w:val="20"/>
      </w:rPr>
      <w:t xml:space="preserve"> (International Trade Centre) </w:t>
    </w:r>
    <w:proofErr w:type="spellStart"/>
    <w:r w:rsidRPr="00CD329A">
      <w:rPr>
        <w:rFonts w:ascii="GHEA Grapalat" w:hAnsi="GHEA Grapalat"/>
        <w:sz w:val="20"/>
        <w:szCs w:val="20"/>
      </w:rPr>
      <w:t>հրապարակումներ</w:t>
    </w:r>
    <w:proofErr w:type="spellEnd"/>
    <w:r w:rsidRPr="00CD329A">
      <w:rPr>
        <w:rFonts w:ascii="GHEA Grapalat" w:hAnsi="GHEA Grapalat"/>
        <w:sz w:val="20"/>
        <w:szCs w:val="20"/>
      </w:rPr>
      <w:t xml:space="preserve">, հղումը՝ </w:t>
    </w:r>
    <w:hyperlink r:id="rId1" w:history="1">
      <w:r w:rsidRPr="00CD329A">
        <w:rPr>
          <w:rStyle w:val="Hyperlink"/>
          <w:rFonts w:ascii="GHEA Grapalat" w:hAnsi="GHEA Grapalat"/>
          <w:sz w:val="20"/>
          <w:szCs w:val="20"/>
        </w:rPr>
        <w:t>https://www.trademap.org/Bilateral_TS.aspx?nvpm=5%7c051%7c%7c364%7c%7c7213%7c%7c%7c4%7c1%7c1%7c1%7c2%7c1%7c1%7c1%7c1%7c1</w:t>
      </w:r>
    </w:hyperlink>
    <w:r w:rsidRPr="00CD329A">
      <w:rPr>
        <w:rFonts w:ascii="GHEA Grapalat" w:hAnsi="GHEA Grapalat"/>
        <w:sz w:val="20"/>
        <w:szCs w:val="20"/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92D22" w14:textId="77777777" w:rsidR="0094470D" w:rsidRDefault="0094470D" w:rsidP="00CD329A">
      <w:pPr>
        <w:spacing w:after="0" w:line="240" w:lineRule="auto"/>
      </w:pPr>
      <w:r>
        <w:separator/>
      </w:r>
    </w:p>
  </w:footnote>
  <w:footnote w:type="continuationSeparator" w:id="0">
    <w:p w14:paraId="071DA7A5" w14:textId="77777777" w:rsidR="0094470D" w:rsidRDefault="0094470D" w:rsidP="00CD3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271DA"/>
    <w:multiLevelType w:val="hybridMultilevel"/>
    <w:tmpl w:val="2FD0B1F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D4121C9"/>
    <w:multiLevelType w:val="hybridMultilevel"/>
    <w:tmpl w:val="697E6420"/>
    <w:lvl w:ilvl="0" w:tplc="B03ECB22">
      <w:start w:val="29"/>
      <w:numFmt w:val="bullet"/>
      <w:lvlText w:val="-"/>
      <w:lvlJc w:val="left"/>
      <w:pPr>
        <w:ind w:left="1080" w:hanging="360"/>
      </w:pPr>
      <w:rPr>
        <w:rFonts w:ascii="GHEA Grapalat" w:eastAsia="GHEA Grapalat" w:hAnsi="GHEA Grapalat" w:cs="GHEA Grapalat" w:hint="default"/>
      </w:rPr>
    </w:lvl>
    <w:lvl w:ilvl="1" w:tplc="042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9738C"/>
    <w:multiLevelType w:val="hybridMultilevel"/>
    <w:tmpl w:val="FF9C88B2"/>
    <w:styleLink w:val="ImportedStyle1"/>
    <w:lvl w:ilvl="0" w:tplc="A2BEDFC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FCD5B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52F896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C6F75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DE2914">
      <w:start w:val="1"/>
      <w:numFmt w:val="decimal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3EA1BE">
      <w:start w:val="1"/>
      <w:numFmt w:val="decimal"/>
      <w:lvlText w:val="%6.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F6F1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84C490">
      <w:start w:val="1"/>
      <w:numFmt w:val="decimal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3016C8">
      <w:start w:val="1"/>
      <w:numFmt w:val="decimal"/>
      <w:lvlText w:val="%9."/>
      <w:lvlJc w:val="left"/>
      <w:pPr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4407F5"/>
    <w:multiLevelType w:val="hybridMultilevel"/>
    <w:tmpl w:val="937A426A"/>
    <w:lvl w:ilvl="0" w:tplc="B072B1C6">
      <w:start w:val="2021"/>
      <w:numFmt w:val="bullet"/>
      <w:lvlText w:val=""/>
      <w:lvlJc w:val="left"/>
      <w:pPr>
        <w:ind w:left="1080" w:hanging="360"/>
      </w:pPr>
      <w:rPr>
        <w:rFonts w:ascii="Symbol" w:eastAsia="GHEA Grapalat" w:hAnsi="Symbol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4D5B9C"/>
    <w:multiLevelType w:val="hybridMultilevel"/>
    <w:tmpl w:val="8002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A96B12"/>
    <w:multiLevelType w:val="hybridMultilevel"/>
    <w:tmpl w:val="FF9C88B2"/>
    <w:numStyleLink w:val="ImportedStyle1"/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</w:num>
  <w:num w:numId="4">
    <w:abstractNumId w:val="5"/>
    <w:lvlOverride w:ilvl="0">
      <w:startOverride w:val="3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27"/>
    <w:rsid w:val="000030E9"/>
    <w:rsid w:val="0000555A"/>
    <w:rsid w:val="0002088C"/>
    <w:rsid w:val="00021EA4"/>
    <w:rsid w:val="0003138F"/>
    <w:rsid w:val="00051AD8"/>
    <w:rsid w:val="00062553"/>
    <w:rsid w:val="0006676B"/>
    <w:rsid w:val="000743B5"/>
    <w:rsid w:val="00080843"/>
    <w:rsid w:val="00085769"/>
    <w:rsid w:val="000B5E18"/>
    <w:rsid w:val="000C69AE"/>
    <w:rsid w:val="000D504A"/>
    <w:rsid w:val="000D5C79"/>
    <w:rsid w:val="000F1754"/>
    <w:rsid w:val="000F32E1"/>
    <w:rsid w:val="00100045"/>
    <w:rsid w:val="0010256A"/>
    <w:rsid w:val="00107D15"/>
    <w:rsid w:val="00115D47"/>
    <w:rsid w:val="001174B7"/>
    <w:rsid w:val="0013794D"/>
    <w:rsid w:val="00152153"/>
    <w:rsid w:val="00162D4C"/>
    <w:rsid w:val="00167869"/>
    <w:rsid w:val="001702EC"/>
    <w:rsid w:val="00173A05"/>
    <w:rsid w:val="001878C5"/>
    <w:rsid w:val="001964D5"/>
    <w:rsid w:val="001C164F"/>
    <w:rsid w:val="001C4BC9"/>
    <w:rsid w:val="001C5C51"/>
    <w:rsid w:val="001D0508"/>
    <w:rsid w:val="001D1D3B"/>
    <w:rsid w:val="001E1F53"/>
    <w:rsid w:val="00201F8F"/>
    <w:rsid w:val="0020229D"/>
    <w:rsid w:val="002025EC"/>
    <w:rsid w:val="00210C0B"/>
    <w:rsid w:val="00241433"/>
    <w:rsid w:val="00241705"/>
    <w:rsid w:val="00243BB2"/>
    <w:rsid w:val="002578F7"/>
    <w:rsid w:val="002628A4"/>
    <w:rsid w:val="00264C7D"/>
    <w:rsid w:val="00266776"/>
    <w:rsid w:val="00280B46"/>
    <w:rsid w:val="00287E2C"/>
    <w:rsid w:val="002940D4"/>
    <w:rsid w:val="002B0D24"/>
    <w:rsid w:val="002B7EB1"/>
    <w:rsid w:val="002D0787"/>
    <w:rsid w:val="002D4F6E"/>
    <w:rsid w:val="002D7F77"/>
    <w:rsid w:val="002E48CC"/>
    <w:rsid w:val="002E60E5"/>
    <w:rsid w:val="002F1040"/>
    <w:rsid w:val="00346DE4"/>
    <w:rsid w:val="00352A16"/>
    <w:rsid w:val="00357E40"/>
    <w:rsid w:val="00361F7C"/>
    <w:rsid w:val="003715E1"/>
    <w:rsid w:val="00373119"/>
    <w:rsid w:val="00376040"/>
    <w:rsid w:val="003767C6"/>
    <w:rsid w:val="00390220"/>
    <w:rsid w:val="00396B3C"/>
    <w:rsid w:val="003A3257"/>
    <w:rsid w:val="003C34BE"/>
    <w:rsid w:val="003C3696"/>
    <w:rsid w:val="003C6379"/>
    <w:rsid w:val="003D1430"/>
    <w:rsid w:val="003D5D32"/>
    <w:rsid w:val="003E6962"/>
    <w:rsid w:val="003F52FC"/>
    <w:rsid w:val="003F7B38"/>
    <w:rsid w:val="0040616C"/>
    <w:rsid w:val="00424283"/>
    <w:rsid w:val="00424C39"/>
    <w:rsid w:val="004344D8"/>
    <w:rsid w:val="004465CF"/>
    <w:rsid w:val="00451728"/>
    <w:rsid w:val="00452FAE"/>
    <w:rsid w:val="004546F4"/>
    <w:rsid w:val="00455DA8"/>
    <w:rsid w:val="00476356"/>
    <w:rsid w:val="004812A7"/>
    <w:rsid w:val="00481DAA"/>
    <w:rsid w:val="00485F61"/>
    <w:rsid w:val="00486009"/>
    <w:rsid w:val="0048690C"/>
    <w:rsid w:val="004B6470"/>
    <w:rsid w:val="004F0A60"/>
    <w:rsid w:val="00514E19"/>
    <w:rsid w:val="005269CD"/>
    <w:rsid w:val="0054061F"/>
    <w:rsid w:val="00541EBE"/>
    <w:rsid w:val="00544E04"/>
    <w:rsid w:val="00560B62"/>
    <w:rsid w:val="0056364F"/>
    <w:rsid w:val="00565D97"/>
    <w:rsid w:val="00593EAC"/>
    <w:rsid w:val="00594BC1"/>
    <w:rsid w:val="005A07ED"/>
    <w:rsid w:val="005A1CEB"/>
    <w:rsid w:val="005A397E"/>
    <w:rsid w:val="005A5285"/>
    <w:rsid w:val="005B5998"/>
    <w:rsid w:val="005B6FA0"/>
    <w:rsid w:val="005C0F43"/>
    <w:rsid w:val="005C1032"/>
    <w:rsid w:val="005C17C0"/>
    <w:rsid w:val="005C3B35"/>
    <w:rsid w:val="005D39B0"/>
    <w:rsid w:val="005E312E"/>
    <w:rsid w:val="005F14F7"/>
    <w:rsid w:val="006210A5"/>
    <w:rsid w:val="00622AC2"/>
    <w:rsid w:val="00624EC7"/>
    <w:rsid w:val="00632B7D"/>
    <w:rsid w:val="00633111"/>
    <w:rsid w:val="00666F2E"/>
    <w:rsid w:val="00682B79"/>
    <w:rsid w:val="00686D47"/>
    <w:rsid w:val="00692D48"/>
    <w:rsid w:val="006B6E9A"/>
    <w:rsid w:val="006C1D62"/>
    <w:rsid w:val="006E3B97"/>
    <w:rsid w:val="006E6C90"/>
    <w:rsid w:val="00702428"/>
    <w:rsid w:val="00712E67"/>
    <w:rsid w:val="00720337"/>
    <w:rsid w:val="007440DA"/>
    <w:rsid w:val="00756DD1"/>
    <w:rsid w:val="00767AA6"/>
    <w:rsid w:val="00772942"/>
    <w:rsid w:val="007A6EEE"/>
    <w:rsid w:val="007A7095"/>
    <w:rsid w:val="007A7250"/>
    <w:rsid w:val="007B4152"/>
    <w:rsid w:val="007B4C5D"/>
    <w:rsid w:val="007B5077"/>
    <w:rsid w:val="007C0AA8"/>
    <w:rsid w:val="007C11EE"/>
    <w:rsid w:val="007C3DB2"/>
    <w:rsid w:val="007C41C4"/>
    <w:rsid w:val="007D65C1"/>
    <w:rsid w:val="007E432F"/>
    <w:rsid w:val="00804CBC"/>
    <w:rsid w:val="008153DD"/>
    <w:rsid w:val="008204F0"/>
    <w:rsid w:val="008218C6"/>
    <w:rsid w:val="008231D7"/>
    <w:rsid w:val="00827B08"/>
    <w:rsid w:val="00833FC7"/>
    <w:rsid w:val="0084197E"/>
    <w:rsid w:val="00852931"/>
    <w:rsid w:val="008646D6"/>
    <w:rsid w:val="00884027"/>
    <w:rsid w:val="00886364"/>
    <w:rsid w:val="00894CFC"/>
    <w:rsid w:val="008A24B5"/>
    <w:rsid w:val="008B2604"/>
    <w:rsid w:val="008B6032"/>
    <w:rsid w:val="008C46E7"/>
    <w:rsid w:val="0090093C"/>
    <w:rsid w:val="00901613"/>
    <w:rsid w:val="0090664F"/>
    <w:rsid w:val="00916559"/>
    <w:rsid w:val="00925D48"/>
    <w:rsid w:val="0094470D"/>
    <w:rsid w:val="00946B7E"/>
    <w:rsid w:val="00947D14"/>
    <w:rsid w:val="00955254"/>
    <w:rsid w:val="009656A4"/>
    <w:rsid w:val="00965F87"/>
    <w:rsid w:val="009843B0"/>
    <w:rsid w:val="009909FE"/>
    <w:rsid w:val="009915D4"/>
    <w:rsid w:val="009916B4"/>
    <w:rsid w:val="009943B4"/>
    <w:rsid w:val="0099532C"/>
    <w:rsid w:val="009A5457"/>
    <w:rsid w:val="009B13FC"/>
    <w:rsid w:val="009B1DD7"/>
    <w:rsid w:val="009E2F35"/>
    <w:rsid w:val="009F2FB5"/>
    <w:rsid w:val="009F46AD"/>
    <w:rsid w:val="00A00DA5"/>
    <w:rsid w:val="00A10362"/>
    <w:rsid w:val="00A45702"/>
    <w:rsid w:val="00A62151"/>
    <w:rsid w:val="00A71856"/>
    <w:rsid w:val="00A80261"/>
    <w:rsid w:val="00A90B65"/>
    <w:rsid w:val="00AB01C6"/>
    <w:rsid w:val="00AC29EC"/>
    <w:rsid w:val="00AD3F8F"/>
    <w:rsid w:val="00AD670F"/>
    <w:rsid w:val="00AE2563"/>
    <w:rsid w:val="00AE310A"/>
    <w:rsid w:val="00AE5499"/>
    <w:rsid w:val="00B22817"/>
    <w:rsid w:val="00B36899"/>
    <w:rsid w:val="00B4788A"/>
    <w:rsid w:val="00B606D2"/>
    <w:rsid w:val="00B635FE"/>
    <w:rsid w:val="00B72B00"/>
    <w:rsid w:val="00B74CAD"/>
    <w:rsid w:val="00B77F9D"/>
    <w:rsid w:val="00B815EC"/>
    <w:rsid w:val="00B81957"/>
    <w:rsid w:val="00B8536E"/>
    <w:rsid w:val="00B916F2"/>
    <w:rsid w:val="00BA10D3"/>
    <w:rsid w:val="00BA2DBC"/>
    <w:rsid w:val="00BB0D34"/>
    <w:rsid w:val="00BC5231"/>
    <w:rsid w:val="00C014B3"/>
    <w:rsid w:val="00C14AB2"/>
    <w:rsid w:val="00C32412"/>
    <w:rsid w:val="00C3501B"/>
    <w:rsid w:val="00C460FF"/>
    <w:rsid w:val="00C5777E"/>
    <w:rsid w:val="00C62F4E"/>
    <w:rsid w:val="00C67EDC"/>
    <w:rsid w:val="00C701C3"/>
    <w:rsid w:val="00C71E9E"/>
    <w:rsid w:val="00C80F84"/>
    <w:rsid w:val="00C90570"/>
    <w:rsid w:val="00CA14F0"/>
    <w:rsid w:val="00CA75B6"/>
    <w:rsid w:val="00CC46E9"/>
    <w:rsid w:val="00CD329A"/>
    <w:rsid w:val="00CD37B8"/>
    <w:rsid w:val="00CD6F0A"/>
    <w:rsid w:val="00CE17CC"/>
    <w:rsid w:val="00CF67BE"/>
    <w:rsid w:val="00D12559"/>
    <w:rsid w:val="00D14308"/>
    <w:rsid w:val="00D14D25"/>
    <w:rsid w:val="00D23B07"/>
    <w:rsid w:val="00D409D9"/>
    <w:rsid w:val="00D612FD"/>
    <w:rsid w:val="00D677DF"/>
    <w:rsid w:val="00D777F0"/>
    <w:rsid w:val="00D968CF"/>
    <w:rsid w:val="00DA7830"/>
    <w:rsid w:val="00DB0F7A"/>
    <w:rsid w:val="00DB2A79"/>
    <w:rsid w:val="00DB7BEA"/>
    <w:rsid w:val="00DB7D1A"/>
    <w:rsid w:val="00DC054D"/>
    <w:rsid w:val="00DC2F04"/>
    <w:rsid w:val="00DD4524"/>
    <w:rsid w:val="00DE56DC"/>
    <w:rsid w:val="00DF5E09"/>
    <w:rsid w:val="00E1461B"/>
    <w:rsid w:val="00E20577"/>
    <w:rsid w:val="00E60C22"/>
    <w:rsid w:val="00E61AA0"/>
    <w:rsid w:val="00E75CA8"/>
    <w:rsid w:val="00E75E44"/>
    <w:rsid w:val="00EA49F6"/>
    <w:rsid w:val="00EA777A"/>
    <w:rsid w:val="00EB78DB"/>
    <w:rsid w:val="00ED7E18"/>
    <w:rsid w:val="00EE4614"/>
    <w:rsid w:val="00EE541F"/>
    <w:rsid w:val="00EF159E"/>
    <w:rsid w:val="00F03719"/>
    <w:rsid w:val="00F14C88"/>
    <w:rsid w:val="00F41427"/>
    <w:rsid w:val="00F45097"/>
    <w:rsid w:val="00F46621"/>
    <w:rsid w:val="00F46BF0"/>
    <w:rsid w:val="00F63D6F"/>
    <w:rsid w:val="00F949C4"/>
    <w:rsid w:val="00FA5334"/>
    <w:rsid w:val="00FB0ED7"/>
    <w:rsid w:val="00FB6DF1"/>
    <w:rsid w:val="00FC2134"/>
    <w:rsid w:val="00FF1A50"/>
    <w:rsid w:val="00FF3BCB"/>
    <w:rsid w:val="00FF4797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E2659"/>
  <w15:chartTrackingRefBased/>
  <w15:docId w15:val="{93FE3421-C515-49E8-843D-6934E49D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7B415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41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7B4152"/>
    <w:pPr>
      <w:numPr>
        <w:numId w:val="1"/>
      </w:numPr>
    </w:p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link w:val="ListParagraphChar"/>
    <w:uiPriority w:val="34"/>
    <w:qFormat/>
    <w:rsid w:val="007B415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7B4152"/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8204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93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D37B8"/>
    <w:rPr>
      <w:b/>
      <w:bCs/>
    </w:rPr>
  </w:style>
  <w:style w:type="table" w:styleId="TableGrid">
    <w:name w:val="Table Grid"/>
    <w:basedOn w:val="TableNormal"/>
    <w:uiPriority w:val="39"/>
    <w:rsid w:val="0069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B59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9A"/>
  </w:style>
  <w:style w:type="paragraph" w:styleId="Footer">
    <w:name w:val="footer"/>
    <w:basedOn w:val="Normal"/>
    <w:link w:val="FooterChar"/>
    <w:uiPriority w:val="99"/>
    <w:unhideWhenUsed/>
    <w:rsid w:val="00CD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9A"/>
  </w:style>
  <w:style w:type="character" w:styleId="UnresolvedMention">
    <w:name w:val="Unresolved Mention"/>
    <w:basedOn w:val="DefaultParagraphFont"/>
    <w:uiPriority w:val="99"/>
    <w:semiHidden/>
    <w:unhideWhenUsed/>
    <w:rsid w:val="00CD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map.org/Bilateral_TS.aspx?nvpm=5%7c051%7c%7c364%7c%7c7213%7c%7c%7c4%7c1%7c1%7c1%7c2%7c1%7c1%7c1%7c1%7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ED8A2-F5FD-461E-9608-873C72B8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702</Words>
  <Characters>5294</Characters>
  <Application>Microsoft Office Word</Application>
  <DocSecurity>0</DocSecurity>
  <Lines>203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S. Paranyan</dc:creator>
  <cp:keywords>https://mul2-mineconomy.gov.am/tasks/805321/oneclick?token=958eb13a124dad9bfce26a5d1fab944a</cp:keywords>
  <dc:description/>
  <cp:lastModifiedBy>Artur K. Ghavalyan</cp:lastModifiedBy>
  <cp:revision>16</cp:revision>
  <cp:lastPrinted>2023-02-06T06:17:00Z</cp:lastPrinted>
  <dcterms:created xsi:type="dcterms:W3CDTF">2024-08-28T11:05:00Z</dcterms:created>
  <dcterms:modified xsi:type="dcterms:W3CDTF">2025-05-27T05:26:00Z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67e7caf0-af5a-4f0b-9fb3-60a091ad4975</vt:lpwstr>
  </property>
</Properties>
</file>