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9272B" w14:textId="77777777" w:rsidR="004B6F0A" w:rsidRPr="00D5782E" w:rsidRDefault="004B6F0A" w:rsidP="00D5782E">
      <w:pPr>
        <w:tabs>
          <w:tab w:val="left" w:pos="993"/>
        </w:tabs>
        <w:spacing w:after="0" w:line="360" w:lineRule="auto"/>
        <w:ind w:left="-720" w:firstLine="567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/>
        </w:rPr>
      </w:pPr>
      <w:r w:rsidRPr="00D5782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ՀԻՄՆԱՎՈՐՈՒՄ</w:t>
      </w:r>
    </w:p>
    <w:p w14:paraId="081073C4" w14:textId="3AE2D976" w:rsidR="004B6F0A" w:rsidRPr="00D5782E" w:rsidRDefault="002C731B" w:rsidP="00D5782E">
      <w:pPr>
        <w:spacing w:after="0" w:line="360" w:lineRule="auto"/>
        <w:ind w:firstLine="72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D5782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«ՀԱՅԱՍՏԱՆԻ ՀԱՆՐԱՊԵՏՈՒԹՅԱՆ ԿԱՌԱՎԱՐՈՒԹՅԱՆ 2019 ԹՎԱԿԱՆԻ ՆՈՅԵՄԲԵՐԻ 14-Ի N 1570-Ն ՈՐՈՇՄԱՆ ՄԵՋ </w:t>
      </w:r>
      <w:r w:rsidR="003429F5" w:rsidRPr="00D5782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ՓՈՓՈԽՈՒԹՅՈՒՆՆԵՐ</w:t>
      </w:r>
      <w:r w:rsidR="00F9610F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ԿԱՏԱՐԵԼՈՒ ՄԱՍԻՆ</w:t>
      </w:r>
      <w:r w:rsidRPr="00D5782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»</w:t>
      </w:r>
      <w:r w:rsidR="004B6F0A" w:rsidRPr="00D5782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ՀԱՅԱՍՏԱՆԻ ՀԱՆՐԱՊԵՏՈՒԹՅԱՆ ԿԱՌԱՎԱՐՈՒԹՅԱՆ ՈՐՈՇՄԱՆ </w:t>
      </w:r>
      <w:r w:rsidR="004B6F0A" w:rsidRPr="00D5782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ՆԱԽԱԳԾԻ</w:t>
      </w:r>
      <w:r w:rsidR="00A15A05" w:rsidRPr="00D5782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="00A15A05" w:rsidRPr="00D5782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ԸՆԴՈՒՆՄԱՆ</w:t>
      </w:r>
    </w:p>
    <w:p w14:paraId="478626B1" w14:textId="77777777" w:rsidR="00006E33" w:rsidRPr="00D5782E" w:rsidRDefault="00006E33" w:rsidP="00D5782E">
      <w:pPr>
        <w:spacing w:after="0" w:line="360" w:lineRule="auto"/>
        <w:ind w:firstLine="720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 w:eastAsia="ru-RU"/>
        </w:rPr>
      </w:pPr>
    </w:p>
    <w:p w14:paraId="5058AFE6" w14:textId="77777777" w:rsidR="005E5CCA" w:rsidRPr="00D5782E" w:rsidRDefault="005E5CCA" w:rsidP="00D5782E">
      <w:pPr>
        <w:spacing w:after="0" w:line="360" w:lineRule="auto"/>
        <w:ind w:left="-567" w:firstLine="567"/>
        <w:jc w:val="both"/>
        <w:rPr>
          <w:rFonts w:ascii="GHEA Grapalat" w:eastAsia="Times New Roman" w:hAnsi="GHEA Grapalat"/>
          <w:b/>
          <w:noProof/>
          <w:color w:val="000000"/>
          <w:sz w:val="24"/>
          <w:szCs w:val="24"/>
          <w:lang w:val="hy-AM" w:eastAsia="ru-RU"/>
        </w:rPr>
      </w:pPr>
      <w:r w:rsidRPr="00D5782E">
        <w:rPr>
          <w:rFonts w:ascii="GHEA Grapalat" w:eastAsia="Times New Roman" w:hAnsi="GHEA Grapalat"/>
          <w:b/>
          <w:noProof/>
          <w:color w:val="000000"/>
          <w:sz w:val="24"/>
          <w:szCs w:val="24"/>
          <w:lang w:val="hy-AM" w:eastAsia="ru-RU"/>
        </w:rPr>
        <w:t>1. Իրավական ակտի ընդունման անհրաժեշտությունը</w:t>
      </w:r>
    </w:p>
    <w:p w14:paraId="1FB1192E" w14:textId="5959ABD8" w:rsidR="005E5CCA" w:rsidRPr="00AB01BB" w:rsidRDefault="005E5CCA" w:rsidP="00AB01BB">
      <w:pPr>
        <w:shd w:val="clear" w:color="auto" w:fill="FFFFFF"/>
        <w:tabs>
          <w:tab w:val="left" w:pos="1418"/>
        </w:tabs>
        <w:spacing w:after="240" w:line="360" w:lineRule="auto"/>
        <w:ind w:left="-567"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D5782E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Նախագծի ընդունումը պայմանավորված է Շուկայի վերահսկողության տեսչական մարմնի (այսուհետ՝ Տեսչական մարմին) կողմից իրականացվող` ռիսկի վրա հիմնված ստուգումների մեթոդաբանությունը (այսուհետ՝ Մեթոդաբանություն) բարելավելու անհրաժեշտությամբ:</w:t>
      </w:r>
    </w:p>
    <w:p w14:paraId="681FAB63" w14:textId="72563B7C" w:rsidR="005E5CCA" w:rsidRPr="00D5782E" w:rsidRDefault="005E5CCA" w:rsidP="00D5782E">
      <w:pPr>
        <w:spacing w:after="0" w:line="360" w:lineRule="auto"/>
        <w:ind w:left="-567" w:firstLine="567"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D5782E">
        <w:rPr>
          <w:rFonts w:ascii="GHEA Grapalat" w:eastAsia="Times New Roman" w:hAnsi="GHEA Grapalat"/>
          <w:b/>
          <w:color w:val="000000"/>
          <w:sz w:val="24"/>
          <w:szCs w:val="24"/>
          <w:shd w:val="clear" w:color="auto" w:fill="FFFFFF"/>
          <w:lang w:val="hy-AM" w:eastAsia="ru-RU"/>
        </w:rPr>
        <w:t>2.</w:t>
      </w:r>
      <w:r w:rsidRPr="00D5782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</w:t>
      </w:r>
      <w:r w:rsidRPr="00D5782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Ընթացիկ</w:t>
      </w:r>
      <w:r w:rsidRPr="00D5782E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D5782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իրավիճակը</w:t>
      </w:r>
      <w:r w:rsidRPr="00D5782E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D5782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և</w:t>
      </w:r>
      <w:r w:rsidRPr="00D5782E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D5782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խնդիրները</w:t>
      </w:r>
    </w:p>
    <w:p w14:paraId="21FEDF37" w14:textId="5682AE44" w:rsidR="005E5CCA" w:rsidRPr="00D5782E" w:rsidRDefault="005E5CCA" w:rsidP="00D5782E">
      <w:pPr>
        <w:spacing w:after="0" w:line="360" w:lineRule="auto"/>
        <w:ind w:left="-567"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D578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«Հայաստանի Հանրապետությունում ստուգումների կազմակերպման և անցկացման մասին» օրենքի համաձայն՝ </w:t>
      </w:r>
      <w:r w:rsidRPr="00D5782E">
        <w:rPr>
          <w:rFonts w:ascii="GHEA Grapalat" w:eastAsia="Times New Roman" w:hAnsi="GHEA Grapalat"/>
          <w:sz w:val="24"/>
          <w:szCs w:val="24"/>
          <w:lang w:val="hy-AM" w:eastAsia="ru-RU"/>
        </w:rPr>
        <w:t>պլանային ստուգումները իրականացվում են ՀՀ կառավարության կողմից հաստատված ռիսկի վրա հիմնված ստուգումների մեթոդ</w:t>
      </w:r>
      <w:r w:rsidR="00AB01BB">
        <w:rPr>
          <w:rFonts w:ascii="GHEA Grapalat" w:eastAsia="Times New Roman" w:hAnsi="GHEA Grapalat"/>
          <w:sz w:val="24"/>
          <w:szCs w:val="24"/>
          <w:lang w:val="hy-AM" w:eastAsia="ru-RU"/>
        </w:rPr>
        <w:t>աբանության հիման վրա ընտրված և Տ</w:t>
      </w:r>
      <w:r w:rsidRPr="00D5782E">
        <w:rPr>
          <w:rFonts w:ascii="GHEA Grapalat" w:eastAsia="Times New Roman" w:hAnsi="GHEA Grapalat"/>
          <w:sz w:val="24"/>
          <w:szCs w:val="24"/>
          <w:lang w:val="hy-AM" w:eastAsia="ru-RU"/>
        </w:rPr>
        <w:t>եսչական մարմնի ստուգումների տարեկան ծրագրում ներառված տնտեսավարող սուբյեկտների մոտ:</w:t>
      </w:r>
      <w:r w:rsidRPr="00D578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Մեթոդաբանությունը հաստատվել է Կառավարու</w:t>
      </w:r>
      <w:r w:rsidR="00AB01BB">
        <w:rPr>
          <w:rFonts w:ascii="GHEA Grapalat" w:eastAsia="Times New Roman" w:hAnsi="GHEA Grapalat" w:cs="Sylfaen"/>
          <w:sz w:val="24"/>
          <w:szCs w:val="24"/>
          <w:lang w:val="hy-AM" w:eastAsia="ru-RU"/>
        </w:rPr>
        <w:t>թյան 2019 թվականի նոյեմբերի 14-ի</w:t>
      </w:r>
      <w:r w:rsidRPr="00D578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N 1570-Ն որոշմամբ, որի հիման վրա 2019 թվականից ի վեր գնահատվել են ստուգման ենթակա տնտեսավարող սուբյեկտների ռիսկայնության աստիճանները, որոնց արդյունքում էլ կազմվել են ստուգումների տարեկան ծրագրերը:</w:t>
      </w:r>
    </w:p>
    <w:p w14:paraId="49C60A2F" w14:textId="45823190" w:rsidR="005E5CCA" w:rsidRPr="00D5782E" w:rsidRDefault="005E5CCA" w:rsidP="00D5782E">
      <w:pPr>
        <w:spacing w:after="0" w:line="360" w:lineRule="auto"/>
        <w:ind w:left="-567" w:firstLine="567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D578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Վերոհիշյալ գործընթացի արդյունավետությունը բարձրացնելու նպատակով անհրաժեշտություն է առաջացել Մեթոդաբանության մեջ իրականացնել մի շարք </w:t>
      </w:r>
      <w:proofErr w:type="spellStart"/>
      <w:r w:rsidRPr="00D5782E">
        <w:rPr>
          <w:rFonts w:ascii="GHEA Grapalat" w:eastAsia="Times New Roman" w:hAnsi="GHEA Grapalat" w:cs="Sylfaen"/>
          <w:sz w:val="24"/>
          <w:szCs w:val="24"/>
          <w:lang w:val="hy-AM" w:eastAsia="ru-RU"/>
        </w:rPr>
        <w:t>լավարկող</w:t>
      </w:r>
      <w:proofErr w:type="spellEnd"/>
      <w:r w:rsidRPr="00D578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բնույթի փոփոխություններ: Մասնավորապես, նախագծով նախատեսվում է՝ </w:t>
      </w:r>
    </w:p>
    <w:p w14:paraId="4D8198AC" w14:textId="041A8EF3" w:rsidR="005E5CCA" w:rsidRPr="00D5782E" w:rsidRDefault="0003269D" w:rsidP="001E5ABA">
      <w:pPr>
        <w:numPr>
          <w:ilvl w:val="0"/>
          <w:numId w:val="18"/>
        </w:numPr>
        <w:spacing w:after="0" w:line="360" w:lineRule="auto"/>
        <w:ind w:left="-567" w:firstLine="567"/>
        <w:contextualSpacing/>
        <w:jc w:val="both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>
        <w:rPr>
          <w:rFonts w:ascii="GHEA Grapalat" w:eastAsia="Times New Roman" w:hAnsi="GHEA Grapalat" w:cs="Sylfaen"/>
          <w:sz w:val="24"/>
          <w:szCs w:val="24"/>
          <w:lang w:val="hy-AM" w:eastAsia="ru-RU"/>
        </w:rPr>
        <w:t>Ըստ</w:t>
      </w:r>
      <w:r w:rsidR="00A652BA" w:rsidRPr="00D578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առանձին տնտեսական գործունեության ուղղությունների սահմանել </w:t>
      </w:r>
      <w:r w:rsidR="00A652BA" w:rsidRPr="00D5782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ոլորտային ռիսկի նոր միավորներ՝ հաշվի առնելով </w:t>
      </w:r>
      <w:r w:rsidR="00A652BA" w:rsidRPr="00D5782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այդ ոլորտներում գործող ընկերությունների կողմից հավանական վնասի ազդեցության մակարդակը:</w:t>
      </w:r>
      <w:r w:rsidR="001E5AB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E5ABA" w:rsidRPr="001E5A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Ոլորտային ռիսկը դասակարգելիս հիմք են ընդունվել </w:t>
      </w:r>
      <w:r w:rsidR="001E5A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</w:t>
      </w:r>
      <w:bookmarkStart w:id="0" w:name="_GoBack"/>
      <w:bookmarkEnd w:id="0"/>
      <w:r w:rsidR="001E5ABA" w:rsidRPr="001E5AB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եսչական մարմնի ստուգումների արդյունքները, տարիների ընթացքում դրանց փոփոխման միտումը, ինչպես նաև պետական վերահսկողական առաջնահերթությունները:</w:t>
      </w:r>
    </w:p>
    <w:p w14:paraId="7FCAD207" w14:textId="34AE0C2D" w:rsidR="005E5CCA" w:rsidRPr="00D5782E" w:rsidRDefault="0073037E" w:rsidP="00D5782E">
      <w:pPr>
        <w:numPr>
          <w:ilvl w:val="0"/>
          <w:numId w:val="18"/>
        </w:numPr>
        <w:spacing w:after="0" w:line="360" w:lineRule="auto"/>
        <w:ind w:left="-567"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D5782E">
        <w:rPr>
          <w:rFonts w:ascii="GHEA Grapalat" w:eastAsia="Times New Roman" w:hAnsi="GHEA Grapalat" w:cs="Sylfaen"/>
          <w:sz w:val="24"/>
          <w:szCs w:val="24"/>
          <w:lang w:val="hy-AM" w:eastAsia="ru-RU"/>
        </w:rPr>
        <w:lastRenderedPageBreak/>
        <w:t xml:space="preserve">Առանձին տնտեսավարող սուբյեկտի մոտ նախկինում ստուգում </w:t>
      </w:r>
      <w:r w:rsidR="00C957A1" w:rsidRPr="00D5782E">
        <w:rPr>
          <w:rFonts w:ascii="GHEA Grapalat" w:eastAsia="Times New Roman" w:hAnsi="GHEA Grapalat" w:cs="Sylfaen"/>
          <w:sz w:val="24"/>
          <w:szCs w:val="24"/>
          <w:lang w:val="hy-AM" w:eastAsia="ru-RU"/>
        </w:rPr>
        <w:t>իրականացրած</w:t>
      </w:r>
      <w:r w:rsidRPr="00D578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չլինելու պարագայում՝ </w:t>
      </w:r>
      <w:r w:rsidR="0003269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սահմանել այդ </w:t>
      </w:r>
      <w:proofErr w:type="spellStart"/>
      <w:r w:rsidR="0003269D">
        <w:rPr>
          <w:rFonts w:ascii="GHEA Grapalat" w:eastAsia="Times New Roman" w:hAnsi="GHEA Grapalat" w:cs="Sylfaen"/>
          <w:sz w:val="24"/>
          <w:szCs w:val="24"/>
          <w:lang w:val="hy-AM" w:eastAsia="ru-RU"/>
        </w:rPr>
        <w:t>ստուգաթերթով</w:t>
      </w:r>
      <w:proofErr w:type="spellEnd"/>
      <w:r w:rsidR="0003269D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գնահատվող ռիսկայնության միավորի նոր մեթոդ՝</w:t>
      </w:r>
      <w:r w:rsidR="006F0378" w:rsidRPr="00D5782E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բացառելով ռիսկայնության բարձր խմբում մեծամասամբ արդեն իսկ ստուգված տնտեսավարող սուբյեկտների կենտրոնացումը:</w:t>
      </w:r>
    </w:p>
    <w:p w14:paraId="3F159EF6" w14:textId="48B1D720" w:rsidR="00D5782E" w:rsidRPr="00D5782E" w:rsidRDefault="00D5782E" w:rsidP="00D5782E">
      <w:pPr>
        <w:numPr>
          <w:ilvl w:val="0"/>
          <w:numId w:val="18"/>
        </w:numPr>
        <w:spacing w:after="0" w:line="360" w:lineRule="auto"/>
        <w:ind w:left="-567"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D5782E">
        <w:rPr>
          <w:rFonts w:ascii="GHEA Grapalat" w:hAnsi="GHEA Grapalat" w:cs="Arial"/>
          <w:sz w:val="24"/>
          <w:szCs w:val="24"/>
          <w:lang w:val="hy-AM" w:eastAsia="ru-RU"/>
        </w:rPr>
        <w:t xml:space="preserve">Սահմանել </w:t>
      </w:r>
      <w:r w:rsidRPr="00D5782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տնտեսավարող սուբյեկտների գործունեության վերլուծության արդյունքում </w:t>
      </w:r>
      <w:proofErr w:type="spellStart"/>
      <w:r w:rsidRPr="00D5782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ձևավորված</w:t>
      </w:r>
      <w:proofErr w:type="spellEnd"/>
      <w:r w:rsidRPr="00D5782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ռիսկի գնահատման լրացուցիչ մեթոդներ՝ հաշվի առնելով  այն դեպքերը, երբ ռիսկի գնահատման գործոններից ոչ բոլորն են </w:t>
      </w:r>
      <w:proofErr w:type="spellStart"/>
      <w:r w:rsidRPr="00D5782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վերաբերելի</w:t>
      </w:r>
      <w:proofErr w:type="spellEnd"/>
      <w:r w:rsidRPr="00D5782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տվյալ գործունեության ոլո</w:t>
      </w:r>
      <w:r w:rsidR="009210D1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րտին, դրանք բացակայում են, կամ </w:t>
      </w:r>
      <w:r w:rsidRPr="00D5782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այն, որ առանձին </w:t>
      </w:r>
      <w:proofErr w:type="spellStart"/>
      <w:r w:rsidRPr="00D5782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տնտեսավարող</w:t>
      </w:r>
      <w:r w:rsidR="0003269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ը</w:t>
      </w:r>
      <w:proofErr w:type="spellEnd"/>
      <w:r w:rsidRPr="00D5782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նույն գործոնի շրջանակում կարող է համապատասխանել մեկից ավելի չափանիշի:</w:t>
      </w:r>
    </w:p>
    <w:p w14:paraId="05CD922A" w14:textId="16C046ED" w:rsidR="00BC255D" w:rsidRPr="00BC255D" w:rsidRDefault="00D5782E" w:rsidP="00BC255D">
      <w:pPr>
        <w:numPr>
          <w:ilvl w:val="0"/>
          <w:numId w:val="18"/>
        </w:numPr>
        <w:spacing w:before="240" w:line="360" w:lineRule="auto"/>
        <w:ind w:left="-567"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D5782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Սահմանել տվյալների բազայից տնտեսավարողներին ըն</w:t>
      </w:r>
      <w:r w:rsidR="00BC255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դ</w:t>
      </w:r>
      <w:r w:rsidRPr="00D5782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գրկելու սկզբունքները և դրանից նրանց հանելու դեպքերը:</w:t>
      </w:r>
    </w:p>
    <w:p w14:paraId="2CABF1EB" w14:textId="77777777" w:rsidR="005E5CCA" w:rsidRPr="00D5782E" w:rsidRDefault="005E5CCA" w:rsidP="00D5782E">
      <w:pPr>
        <w:spacing w:after="0" w:line="360" w:lineRule="auto"/>
        <w:ind w:left="-567" w:firstLine="567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D5782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3. Առաջարկվող կարգավորման</w:t>
      </w:r>
      <w:r w:rsidRPr="00D5782E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D5782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նպատակը</w:t>
      </w:r>
      <w:r w:rsidRPr="00D5782E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D5782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և</w:t>
      </w:r>
      <w:r w:rsidRPr="00D5782E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D5782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բնույթը</w:t>
      </w:r>
    </w:p>
    <w:p w14:paraId="5B6C7F1D" w14:textId="517BE9AD" w:rsidR="005E5CCA" w:rsidRPr="00D5782E" w:rsidRDefault="005E5CCA" w:rsidP="00BC255D">
      <w:pPr>
        <w:spacing w:after="0" w:line="360" w:lineRule="auto"/>
        <w:ind w:left="-567"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D5782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Նախագծի ընդունման նպատակն է փոփոխություններ իրականացնել </w:t>
      </w:r>
      <w:proofErr w:type="spellStart"/>
      <w:r w:rsidRPr="00D5782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Մեթոդաբանությունում</w:t>
      </w:r>
      <w:proofErr w:type="spellEnd"/>
      <w:r w:rsidRPr="00D5782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և </w:t>
      </w:r>
      <w:r w:rsidR="00BC255D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սահմանել</w:t>
      </w:r>
      <w:r w:rsidRPr="00D5782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 xml:space="preserve"> այն բարելավող մի շարք </w:t>
      </w:r>
      <w:proofErr w:type="spellStart"/>
      <w:r w:rsidRPr="00D5782E">
        <w:rPr>
          <w:rFonts w:ascii="GHEA Grapalat" w:eastAsia="Times New Roman" w:hAnsi="GHEA Grapalat"/>
          <w:color w:val="000000"/>
          <w:sz w:val="24"/>
          <w:szCs w:val="24"/>
          <w:shd w:val="clear" w:color="auto" w:fill="FFFFFF"/>
          <w:lang w:val="hy-AM" w:eastAsia="ru-RU"/>
        </w:rPr>
        <w:t>կարգավորումներ</w:t>
      </w:r>
      <w:proofErr w:type="spellEnd"/>
      <w:r w:rsidRPr="00D5782E">
        <w:rPr>
          <w:rFonts w:ascii="GHEA Grapalat" w:eastAsia="Times New Roman" w:hAnsi="GHEA Grapalat"/>
          <w:sz w:val="24"/>
          <w:szCs w:val="24"/>
          <w:lang w:val="hy-AM" w:eastAsia="ru-RU"/>
        </w:rPr>
        <w:t>:</w:t>
      </w:r>
    </w:p>
    <w:p w14:paraId="230EFAA6" w14:textId="77777777" w:rsidR="005E5CCA" w:rsidRPr="00D5782E" w:rsidRDefault="005E5CCA" w:rsidP="00D5782E">
      <w:pPr>
        <w:numPr>
          <w:ilvl w:val="0"/>
          <w:numId w:val="17"/>
        </w:numPr>
        <w:spacing w:after="0" w:line="360" w:lineRule="auto"/>
        <w:ind w:left="-567" w:firstLine="567"/>
        <w:rPr>
          <w:rFonts w:ascii="GHEA Grapalat" w:eastAsia="Times New Roman" w:hAnsi="GHEA Grapalat"/>
          <w:b/>
          <w:sz w:val="24"/>
          <w:szCs w:val="24"/>
          <w:lang w:val="hy-AM" w:eastAsia="ru-RU"/>
        </w:rPr>
      </w:pPr>
      <w:r w:rsidRPr="00D5782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Նախագծի</w:t>
      </w:r>
      <w:r w:rsidRPr="00D5782E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D5782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մշակման</w:t>
      </w:r>
      <w:r w:rsidRPr="00D5782E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D5782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գործընթացում</w:t>
      </w:r>
      <w:r w:rsidRPr="00D5782E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D5782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ներգրավված</w:t>
      </w:r>
      <w:r w:rsidRPr="00D5782E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D5782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ինստիտուտները</w:t>
      </w:r>
      <w:r w:rsidRPr="00D5782E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D5782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և</w:t>
      </w:r>
      <w:r w:rsidRPr="00D5782E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D5782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անձինք</w:t>
      </w:r>
      <w:r w:rsidRPr="00D5782E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</w:p>
    <w:p w14:paraId="10B27EA9" w14:textId="77777777" w:rsidR="005E5CCA" w:rsidRPr="00D5782E" w:rsidRDefault="005E5CCA" w:rsidP="00BC255D">
      <w:pPr>
        <w:spacing w:after="0" w:line="360" w:lineRule="auto"/>
        <w:ind w:left="-567" w:firstLine="567"/>
        <w:jc w:val="both"/>
        <w:rPr>
          <w:rFonts w:ascii="GHEA Grapalat" w:eastAsia="Times New Roman" w:hAnsi="GHEA Grapalat"/>
          <w:bCs/>
          <w:noProof/>
          <w:color w:val="000000"/>
          <w:sz w:val="24"/>
          <w:szCs w:val="24"/>
          <w:lang w:val="hy-AM" w:eastAsia="ru-RU"/>
        </w:rPr>
      </w:pPr>
      <w:r w:rsidRPr="00D5782E">
        <w:rPr>
          <w:rFonts w:ascii="GHEA Grapalat" w:eastAsia="Times New Roman" w:hAnsi="GHEA Grapalat"/>
          <w:bCs/>
          <w:noProof/>
          <w:color w:val="000000"/>
          <w:sz w:val="24"/>
          <w:szCs w:val="24"/>
          <w:lang w:val="hy-AM" w:eastAsia="ru-RU"/>
        </w:rPr>
        <w:t>Նախագիծը մշակվել է Հայաստանի Հանրապետության վարչապետի աշխատակազմի տեսչական մարմինների աշխատանքների համակարգման գրասենյակի կողմից:</w:t>
      </w:r>
    </w:p>
    <w:p w14:paraId="0294729C" w14:textId="77777777" w:rsidR="005E5CCA" w:rsidRPr="00D5782E" w:rsidRDefault="005E5CCA" w:rsidP="00D5782E">
      <w:pPr>
        <w:numPr>
          <w:ilvl w:val="0"/>
          <w:numId w:val="17"/>
        </w:numPr>
        <w:spacing w:after="0" w:line="360" w:lineRule="auto"/>
        <w:ind w:left="-567" w:firstLine="567"/>
        <w:contextualSpacing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D5782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 Ակնկալվող</w:t>
      </w:r>
      <w:r w:rsidRPr="00D5782E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D5782E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արդյունքը</w:t>
      </w:r>
    </w:p>
    <w:p w14:paraId="7E842D7C" w14:textId="3B7420BE" w:rsidR="005E5CCA" w:rsidRPr="00D5782E" w:rsidRDefault="005E5CCA" w:rsidP="00AB01BB">
      <w:pPr>
        <w:shd w:val="clear" w:color="auto" w:fill="FFFFFF"/>
        <w:spacing w:after="0" w:line="360" w:lineRule="auto"/>
        <w:ind w:left="-567" w:firstLine="567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</w:pPr>
      <w:r w:rsidRPr="00D5782E">
        <w:rPr>
          <w:rFonts w:ascii="GHEA Grapalat" w:eastAsia="Times New Roman" w:hAnsi="GHEA Grapalat" w:cs="Sylfaen"/>
          <w:bCs/>
          <w:sz w:val="24"/>
          <w:szCs w:val="24"/>
          <w:lang w:val="hy-AM" w:eastAsia="ru-RU"/>
        </w:rPr>
        <w:t xml:space="preserve">Նախագծի ընդունումը կապահովի </w:t>
      </w:r>
      <w:r w:rsidR="00174BA9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Տեսչական մարմնի վերահսկողության</w:t>
      </w:r>
      <w:r w:rsidRPr="00D5782E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 ոլորտներում առավել ռիսկային տնտեսավարող սուբյեկտների </w:t>
      </w:r>
      <w:proofErr w:type="spellStart"/>
      <w:r w:rsidR="0003269D" w:rsidRPr="0003269D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>իդենտիֆիկացում</w:t>
      </w:r>
      <w:proofErr w:type="spellEnd"/>
      <w:r w:rsidR="0003269D" w:rsidRPr="0003269D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 </w:t>
      </w:r>
      <w:r w:rsidRPr="00D5782E">
        <w:rPr>
          <w:rFonts w:ascii="GHEA Grapalat" w:eastAsia="Times New Roman" w:hAnsi="GHEA Grapalat" w:cs="GHEA Grapalat"/>
          <w:color w:val="000000"/>
          <w:sz w:val="24"/>
          <w:szCs w:val="24"/>
          <w:lang w:val="hy-AM" w:eastAsia="ru-RU"/>
        </w:rPr>
        <w:t xml:space="preserve">և պլանային ստուգումների իրականացման բնականոն ընթացքը: </w:t>
      </w:r>
    </w:p>
    <w:p w14:paraId="2FD1EB1A" w14:textId="54C568D5" w:rsidR="005E5CCA" w:rsidRPr="00D5782E" w:rsidRDefault="009210D1" w:rsidP="00D5782E">
      <w:pPr>
        <w:numPr>
          <w:ilvl w:val="0"/>
          <w:numId w:val="17"/>
        </w:numPr>
        <w:spacing w:after="0" w:line="360" w:lineRule="auto"/>
        <w:ind w:left="-567" w:firstLine="567"/>
        <w:contextualSpacing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 w:eastAsia="ru-RU"/>
        </w:rPr>
        <w:t xml:space="preserve"> </w:t>
      </w:r>
      <w:r w:rsidR="005E5CCA" w:rsidRPr="00D5782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 w:eastAsia="ru-RU"/>
        </w:rPr>
        <w:t xml:space="preserve"> Այլ իրավական ակտերում փոփոխությունների և/կա</w:t>
      </w:r>
      <w:r w:rsidR="00D5782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 w:eastAsia="ru-RU"/>
        </w:rPr>
        <w:t>մ լրացումների անհրաժեշտությունը</w:t>
      </w:r>
    </w:p>
    <w:p w14:paraId="48C35D96" w14:textId="3F49111C" w:rsidR="005E5CCA" w:rsidRPr="00BC255D" w:rsidRDefault="005E5CCA" w:rsidP="00BC255D">
      <w:pPr>
        <w:spacing w:after="0" w:line="360" w:lineRule="auto"/>
        <w:ind w:left="-567" w:firstLine="567"/>
        <w:jc w:val="both"/>
        <w:rPr>
          <w:rFonts w:ascii="GHEA Grapalat" w:hAnsi="GHEA Grapalat" w:cs="Sylfaen"/>
          <w:noProof/>
          <w:sz w:val="24"/>
          <w:szCs w:val="24"/>
          <w:lang w:val="hy-AM" w:eastAsia="ru-RU"/>
        </w:rPr>
      </w:pPr>
      <w:r w:rsidRPr="00D5782E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09EA243A" w14:textId="54FE7D8E" w:rsidR="005E5CCA" w:rsidRPr="00D5782E" w:rsidRDefault="005E5CCA" w:rsidP="00D5782E">
      <w:pPr>
        <w:numPr>
          <w:ilvl w:val="0"/>
          <w:numId w:val="17"/>
        </w:numPr>
        <w:tabs>
          <w:tab w:val="left" w:pos="851"/>
        </w:tabs>
        <w:spacing w:after="0" w:line="360" w:lineRule="auto"/>
        <w:ind w:left="-567" w:firstLine="567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D5782E">
        <w:rPr>
          <w:rFonts w:ascii="GHEA Grapalat" w:hAnsi="GHEA Grapalat"/>
          <w:b/>
          <w:sz w:val="24"/>
          <w:szCs w:val="24"/>
          <w:lang w:val="hy-AM" w:eastAsia="ru-RU"/>
        </w:rPr>
        <w:t xml:space="preserve">  Կապը ռազմավարական փաստաթղթերի հետ. 2050 Հայաստանի վերափոխման ռազմավարություն, Կառավարության 2021-2026թթ. ծրագիր, ոլորտային և/կամ այլ </w:t>
      </w:r>
      <w:proofErr w:type="spellStart"/>
      <w:r w:rsidR="00D5782E">
        <w:rPr>
          <w:rFonts w:ascii="GHEA Grapalat" w:hAnsi="GHEA Grapalat"/>
          <w:b/>
          <w:sz w:val="24"/>
          <w:szCs w:val="24"/>
          <w:lang w:val="hy-AM" w:eastAsia="ru-RU"/>
        </w:rPr>
        <w:t>ռազմավարություններ</w:t>
      </w:r>
      <w:proofErr w:type="spellEnd"/>
    </w:p>
    <w:p w14:paraId="767C8BA6" w14:textId="77777777" w:rsidR="005E5CCA" w:rsidRPr="00D5782E" w:rsidRDefault="005E5CCA" w:rsidP="00D5782E">
      <w:pPr>
        <w:spacing w:after="0" w:line="360" w:lineRule="auto"/>
        <w:ind w:left="-567" w:firstLine="567"/>
        <w:jc w:val="both"/>
        <w:rPr>
          <w:rFonts w:ascii="GHEA Grapalat" w:hAnsi="GHEA Grapalat"/>
          <w:sz w:val="24"/>
          <w:szCs w:val="24"/>
          <w:lang w:val="hy-AM" w:eastAsia="ru-RU"/>
        </w:rPr>
      </w:pPr>
      <w:r w:rsidRPr="00D5782E">
        <w:rPr>
          <w:rFonts w:ascii="GHEA Grapalat" w:hAnsi="GHEA Grapalat"/>
          <w:sz w:val="24"/>
          <w:szCs w:val="24"/>
          <w:lang w:val="hy-AM" w:eastAsia="ru-RU"/>
        </w:rPr>
        <w:t>Նախագծի ուղղակի կապը ռազմավարական փաստաթղթերի հետ բացակայում է:</w:t>
      </w:r>
    </w:p>
    <w:p w14:paraId="2306638E" w14:textId="77777777" w:rsidR="005E5CCA" w:rsidRPr="00D5782E" w:rsidRDefault="005E5CCA" w:rsidP="00D5782E">
      <w:pPr>
        <w:spacing w:after="0" w:line="360" w:lineRule="auto"/>
        <w:ind w:left="-567" w:firstLine="567"/>
        <w:jc w:val="both"/>
        <w:rPr>
          <w:rFonts w:ascii="GHEA Grapalat" w:hAnsi="GHEA Grapalat"/>
          <w:sz w:val="24"/>
          <w:szCs w:val="24"/>
          <w:lang w:val="hy-AM" w:eastAsia="ru-RU"/>
        </w:rPr>
      </w:pPr>
    </w:p>
    <w:p w14:paraId="472608FD" w14:textId="77777777" w:rsidR="005E5CCA" w:rsidRPr="00D5782E" w:rsidRDefault="005E5CCA" w:rsidP="00D5782E">
      <w:pPr>
        <w:numPr>
          <w:ilvl w:val="0"/>
          <w:numId w:val="17"/>
        </w:numPr>
        <w:spacing w:after="0" w:line="360" w:lineRule="auto"/>
        <w:ind w:left="-567" w:firstLine="567"/>
        <w:contextualSpacing/>
        <w:jc w:val="both"/>
        <w:rPr>
          <w:rFonts w:ascii="GHEA Grapalat" w:hAnsi="GHEA Grapalat"/>
          <w:b/>
          <w:sz w:val="24"/>
          <w:szCs w:val="24"/>
          <w:lang w:val="hy-AM" w:eastAsia="ru-RU"/>
        </w:rPr>
      </w:pPr>
      <w:r w:rsidRPr="00D5782E">
        <w:rPr>
          <w:rFonts w:ascii="GHEA Grapalat" w:hAnsi="GHEA Grapalat"/>
          <w:b/>
          <w:sz w:val="24"/>
          <w:szCs w:val="24"/>
          <w:lang w:val="hy-AM" w:eastAsia="ru-RU"/>
        </w:rPr>
        <w:t xml:space="preserve">  Պետական</w:t>
      </w:r>
      <w:r w:rsidRPr="00D5782E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5782E">
        <w:rPr>
          <w:rFonts w:ascii="GHEA Grapalat" w:hAnsi="GHEA Grapalat"/>
          <w:b/>
          <w:sz w:val="24"/>
          <w:szCs w:val="24"/>
          <w:lang w:val="hy-AM" w:eastAsia="ru-RU"/>
        </w:rPr>
        <w:t>կամ</w:t>
      </w:r>
      <w:r w:rsidRPr="00D5782E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5782E">
        <w:rPr>
          <w:rFonts w:ascii="GHEA Grapalat" w:hAnsi="GHEA Grapalat"/>
          <w:b/>
          <w:sz w:val="24"/>
          <w:szCs w:val="24"/>
          <w:lang w:val="hy-AM" w:eastAsia="ru-RU"/>
        </w:rPr>
        <w:t>տեղական</w:t>
      </w:r>
      <w:r w:rsidRPr="00D5782E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5782E">
        <w:rPr>
          <w:rFonts w:ascii="GHEA Grapalat" w:hAnsi="GHEA Grapalat"/>
          <w:b/>
          <w:sz w:val="24"/>
          <w:szCs w:val="24"/>
          <w:lang w:val="hy-AM" w:eastAsia="ru-RU"/>
        </w:rPr>
        <w:t>ինքնակառավարման</w:t>
      </w:r>
      <w:r w:rsidRPr="00D5782E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5782E">
        <w:rPr>
          <w:rFonts w:ascii="GHEA Grapalat" w:hAnsi="GHEA Grapalat"/>
          <w:b/>
          <w:sz w:val="24"/>
          <w:szCs w:val="24"/>
          <w:lang w:val="hy-AM" w:eastAsia="ru-RU"/>
        </w:rPr>
        <w:t>մարմնի</w:t>
      </w:r>
      <w:r w:rsidRPr="00D5782E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5782E">
        <w:rPr>
          <w:rFonts w:ascii="GHEA Grapalat" w:hAnsi="GHEA Grapalat"/>
          <w:b/>
          <w:sz w:val="24"/>
          <w:szCs w:val="24"/>
          <w:lang w:val="hy-AM" w:eastAsia="ru-RU"/>
        </w:rPr>
        <w:t>բյուջեում</w:t>
      </w:r>
      <w:r w:rsidRPr="00D5782E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5782E">
        <w:rPr>
          <w:rFonts w:ascii="GHEA Grapalat" w:hAnsi="GHEA Grapalat"/>
          <w:b/>
          <w:sz w:val="24"/>
          <w:szCs w:val="24"/>
          <w:lang w:val="hy-AM" w:eastAsia="ru-RU"/>
        </w:rPr>
        <w:t>եկամուտների</w:t>
      </w:r>
      <w:r w:rsidRPr="00D5782E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5782E">
        <w:rPr>
          <w:rFonts w:ascii="GHEA Grapalat" w:hAnsi="GHEA Grapalat"/>
          <w:b/>
          <w:sz w:val="24"/>
          <w:szCs w:val="24"/>
          <w:lang w:val="hy-AM" w:eastAsia="ru-RU"/>
        </w:rPr>
        <w:t>և</w:t>
      </w:r>
      <w:r w:rsidRPr="00D5782E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5782E">
        <w:rPr>
          <w:rFonts w:ascii="GHEA Grapalat" w:hAnsi="GHEA Grapalat"/>
          <w:b/>
          <w:sz w:val="24"/>
          <w:szCs w:val="24"/>
          <w:lang w:val="hy-AM" w:eastAsia="ru-RU"/>
        </w:rPr>
        <w:t>ծախսերի</w:t>
      </w:r>
      <w:r w:rsidRPr="00D5782E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5782E">
        <w:rPr>
          <w:rFonts w:ascii="GHEA Grapalat" w:hAnsi="GHEA Grapalat"/>
          <w:b/>
          <w:sz w:val="24"/>
          <w:szCs w:val="24"/>
          <w:lang w:val="hy-AM" w:eastAsia="ru-RU"/>
        </w:rPr>
        <w:t>էական</w:t>
      </w:r>
      <w:r w:rsidRPr="00D5782E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5782E">
        <w:rPr>
          <w:rFonts w:ascii="GHEA Grapalat" w:hAnsi="GHEA Grapalat"/>
          <w:b/>
          <w:sz w:val="24"/>
          <w:szCs w:val="24"/>
          <w:lang w:val="hy-AM" w:eastAsia="ru-RU"/>
        </w:rPr>
        <w:t>ավելացման</w:t>
      </w:r>
      <w:r w:rsidRPr="00D5782E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5782E">
        <w:rPr>
          <w:rFonts w:ascii="GHEA Grapalat" w:hAnsi="GHEA Grapalat"/>
          <w:b/>
          <w:sz w:val="24"/>
          <w:szCs w:val="24"/>
          <w:lang w:val="hy-AM" w:eastAsia="ru-RU"/>
        </w:rPr>
        <w:t>կամ</w:t>
      </w:r>
      <w:r w:rsidRPr="00D5782E">
        <w:rPr>
          <w:rFonts w:ascii="GHEA Grapalat" w:hAnsi="GHEA Grapalat"/>
          <w:b/>
          <w:sz w:val="24"/>
          <w:szCs w:val="24"/>
          <w:lang w:val="af-ZA" w:eastAsia="ru-RU"/>
        </w:rPr>
        <w:t xml:space="preserve"> </w:t>
      </w:r>
      <w:r w:rsidRPr="00D5782E">
        <w:rPr>
          <w:rFonts w:ascii="GHEA Grapalat" w:hAnsi="GHEA Grapalat"/>
          <w:b/>
          <w:sz w:val="24"/>
          <w:szCs w:val="24"/>
          <w:lang w:val="hy-AM" w:eastAsia="ru-RU"/>
        </w:rPr>
        <w:t>նվազեցման վերաբերյալ</w:t>
      </w:r>
    </w:p>
    <w:p w14:paraId="1933B9EA" w14:textId="77777777" w:rsidR="005E5CCA" w:rsidRPr="00D5782E" w:rsidRDefault="005E5CCA" w:rsidP="00D5782E">
      <w:pPr>
        <w:spacing w:after="240" w:line="360" w:lineRule="auto"/>
        <w:ind w:left="-567" w:firstLine="567"/>
        <w:jc w:val="both"/>
        <w:rPr>
          <w:rFonts w:ascii="GHEA Grapalat" w:hAnsi="GHEA Grapalat"/>
          <w:sz w:val="24"/>
          <w:szCs w:val="24"/>
          <w:lang w:val="af-ZA" w:eastAsia="ru-RU"/>
        </w:rPr>
      </w:pPr>
      <w:r w:rsidRPr="00D5782E">
        <w:rPr>
          <w:rFonts w:ascii="GHEA Grapalat" w:hAnsi="GHEA Grapalat"/>
          <w:sz w:val="24"/>
          <w:szCs w:val="24"/>
          <w:lang w:val="hy-AM" w:eastAsia="ru-RU"/>
        </w:rPr>
        <w:t>Ն</w:t>
      </w:r>
      <w:proofErr w:type="spellStart"/>
      <w:r w:rsidRPr="00D5782E">
        <w:rPr>
          <w:rFonts w:ascii="GHEA Grapalat" w:hAnsi="GHEA Grapalat"/>
          <w:sz w:val="24"/>
          <w:szCs w:val="24"/>
          <w:lang w:val="af-ZA" w:eastAsia="ru-RU"/>
        </w:rPr>
        <w:t>ախագծի</w:t>
      </w:r>
      <w:proofErr w:type="spellEnd"/>
      <w:r w:rsidRPr="00D5782E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D5782E">
        <w:rPr>
          <w:rFonts w:ascii="GHEA Grapalat" w:hAnsi="GHEA Grapalat"/>
          <w:sz w:val="24"/>
          <w:szCs w:val="24"/>
          <w:lang w:val="hy-AM" w:eastAsia="ru-RU"/>
        </w:rPr>
        <w:t>ընդունման</w:t>
      </w:r>
      <w:r w:rsidRPr="00D5782E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D5782E">
        <w:rPr>
          <w:rFonts w:ascii="GHEA Grapalat" w:hAnsi="GHEA Grapalat"/>
          <w:sz w:val="24"/>
          <w:szCs w:val="24"/>
          <w:lang w:val="hy-AM" w:eastAsia="ru-RU"/>
        </w:rPr>
        <w:t>կապակցությամբ</w:t>
      </w:r>
      <w:r w:rsidRPr="00D5782E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D5782E">
        <w:rPr>
          <w:rFonts w:ascii="GHEA Grapalat" w:hAnsi="GHEA Grapalat"/>
          <w:sz w:val="24"/>
          <w:szCs w:val="24"/>
          <w:lang w:val="hy-AM" w:eastAsia="ru-RU"/>
        </w:rPr>
        <w:t>պետական</w:t>
      </w:r>
      <w:r w:rsidRPr="00D5782E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D5782E">
        <w:rPr>
          <w:rFonts w:ascii="GHEA Grapalat" w:hAnsi="GHEA Grapalat"/>
          <w:sz w:val="24"/>
          <w:szCs w:val="24"/>
          <w:lang w:val="hy-AM" w:eastAsia="ru-RU"/>
        </w:rPr>
        <w:t>կամ</w:t>
      </w:r>
      <w:r w:rsidRPr="00D5782E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D5782E">
        <w:rPr>
          <w:rFonts w:ascii="GHEA Grapalat" w:hAnsi="GHEA Grapalat"/>
          <w:sz w:val="24"/>
          <w:szCs w:val="24"/>
          <w:lang w:val="hy-AM" w:eastAsia="ru-RU"/>
        </w:rPr>
        <w:t>տեղական</w:t>
      </w:r>
      <w:r w:rsidRPr="00D5782E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D5782E">
        <w:rPr>
          <w:rFonts w:ascii="GHEA Grapalat" w:hAnsi="GHEA Grapalat"/>
          <w:sz w:val="24"/>
          <w:szCs w:val="24"/>
          <w:lang w:val="hy-AM" w:eastAsia="ru-RU"/>
        </w:rPr>
        <w:t>ինքնակառավարման</w:t>
      </w:r>
      <w:r w:rsidRPr="00D5782E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D5782E">
        <w:rPr>
          <w:rFonts w:ascii="GHEA Grapalat" w:hAnsi="GHEA Grapalat"/>
          <w:sz w:val="24"/>
          <w:szCs w:val="24"/>
          <w:lang w:val="hy-AM" w:eastAsia="ru-RU"/>
        </w:rPr>
        <w:t>մարմնի</w:t>
      </w:r>
      <w:r w:rsidRPr="00D5782E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D5782E">
        <w:rPr>
          <w:rFonts w:ascii="GHEA Grapalat" w:hAnsi="GHEA Grapalat"/>
          <w:sz w:val="24"/>
          <w:szCs w:val="24"/>
          <w:lang w:val="hy-AM" w:eastAsia="ru-RU"/>
        </w:rPr>
        <w:t>բյուջեում</w:t>
      </w:r>
      <w:r w:rsidRPr="00D5782E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D5782E">
        <w:rPr>
          <w:rFonts w:ascii="GHEA Grapalat" w:hAnsi="GHEA Grapalat"/>
          <w:sz w:val="24"/>
          <w:szCs w:val="24"/>
          <w:lang w:val="hy-AM" w:eastAsia="ru-RU"/>
        </w:rPr>
        <w:t>եկամուտների</w:t>
      </w:r>
      <w:r w:rsidRPr="00D5782E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D5782E">
        <w:rPr>
          <w:rFonts w:ascii="GHEA Grapalat" w:hAnsi="GHEA Grapalat"/>
          <w:sz w:val="24"/>
          <w:szCs w:val="24"/>
          <w:lang w:val="hy-AM" w:eastAsia="ru-RU"/>
        </w:rPr>
        <w:t>և</w:t>
      </w:r>
      <w:r w:rsidRPr="00D5782E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D5782E">
        <w:rPr>
          <w:rFonts w:ascii="GHEA Grapalat" w:hAnsi="GHEA Grapalat"/>
          <w:sz w:val="24"/>
          <w:szCs w:val="24"/>
          <w:lang w:val="hy-AM" w:eastAsia="ru-RU"/>
        </w:rPr>
        <w:t>ծախսերի</w:t>
      </w:r>
      <w:r w:rsidRPr="00D5782E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D5782E">
        <w:rPr>
          <w:rFonts w:ascii="GHEA Grapalat" w:hAnsi="GHEA Grapalat"/>
          <w:sz w:val="24"/>
          <w:szCs w:val="24"/>
          <w:lang w:val="hy-AM" w:eastAsia="ru-RU"/>
        </w:rPr>
        <w:t>էական</w:t>
      </w:r>
      <w:r w:rsidRPr="00D5782E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D5782E">
        <w:rPr>
          <w:rFonts w:ascii="GHEA Grapalat" w:hAnsi="GHEA Grapalat"/>
          <w:sz w:val="24"/>
          <w:szCs w:val="24"/>
          <w:lang w:val="hy-AM" w:eastAsia="ru-RU"/>
        </w:rPr>
        <w:t>ավելացում</w:t>
      </w:r>
      <w:r w:rsidRPr="00D5782E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D5782E">
        <w:rPr>
          <w:rFonts w:ascii="GHEA Grapalat" w:hAnsi="GHEA Grapalat"/>
          <w:sz w:val="24"/>
          <w:szCs w:val="24"/>
          <w:lang w:val="hy-AM" w:eastAsia="ru-RU"/>
        </w:rPr>
        <w:t>կամ</w:t>
      </w:r>
      <w:r w:rsidRPr="00D5782E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D5782E">
        <w:rPr>
          <w:rFonts w:ascii="GHEA Grapalat" w:hAnsi="GHEA Grapalat"/>
          <w:sz w:val="24"/>
          <w:szCs w:val="24"/>
          <w:lang w:val="hy-AM" w:eastAsia="ru-RU"/>
        </w:rPr>
        <w:t>նվազեցում</w:t>
      </w:r>
      <w:r w:rsidRPr="00D5782E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D5782E">
        <w:rPr>
          <w:rFonts w:ascii="GHEA Grapalat" w:hAnsi="GHEA Grapalat"/>
          <w:sz w:val="24"/>
          <w:szCs w:val="24"/>
          <w:lang w:val="hy-AM" w:eastAsia="ru-RU"/>
        </w:rPr>
        <w:t>չի</w:t>
      </w:r>
      <w:r w:rsidRPr="00D5782E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D5782E">
        <w:rPr>
          <w:rFonts w:ascii="GHEA Grapalat" w:hAnsi="GHEA Grapalat"/>
          <w:sz w:val="24"/>
          <w:szCs w:val="24"/>
          <w:lang w:val="hy-AM" w:eastAsia="ru-RU"/>
        </w:rPr>
        <w:t>նախատեսվում։</w:t>
      </w:r>
      <w:r w:rsidRPr="00D5782E">
        <w:rPr>
          <w:rFonts w:ascii="GHEA Grapalat" w:hAnsi="GHEA Grapalat"/>
          <w:sz w:val="24"/>
          <w:szCs w:val="24"/>
          <w:lang w:val="af-ZA" w:eastAsia="ru-RU"/>
        </w:rPr>
        <w:t xml:space="preserve"> </w:t>
      </w:r>
      <w:r w:rsidRPr="00D5782E">
        <w:rPr>
          <w:rFonts w:ascii="GHEA Grapalat" w:hAnsi="GHEA Grapalat"/>
          <w:sz w:val="24"/>
          <w:szCs w:val="24"/>
          <w:lang w:val="af-ZA" w:eastAsia="ru-RU"/>
        </w:rPr>
        <w:tab/>
      </w:r>
    </w:p>
    <w:p w14:paraId="706FFDFA" w14:textId="77777777" w:rsidR="005E5CCA" w:rsidRPr="00D5782E" w:rsidRDefault="005E5CCA" w:rsidP="00D5782E">
      <w:pPr>
        <w:spacing w:after="0" w:line="360" w:lineRule="auto"/>
        <w:ind w:firstLine="567"/>
        <w:rPr>
          <w:rFonts w:ascii="GHEA Grapalat" w:eastAsia="Times New Roman" w:hAnsi="GHEA Grapalat"/>
          <w:sz w:val="24"/>
          <w:szCs w:val="24"/>
          <w:lang w:val="af-ZA" w:eastAsia="ru-RU"/>
        </w:rPr>
      </w:pPr>
    </w:p>
    <w:p w14:paraId="136F53F6" w14:textId="77777777" w:rsidR="005E5CCA" w:rsidRPr="00D5782E" w:rsidRDefault="005E5CCA" w:rsidP="00D5782E">
      <w:pPr>
        <w:spacing w:after="0" w:line="360" w:lineRule="auto"/>
        <w:ind w:firstLine="567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af-ZA" w:eastAsia="ru-RU"/>
        </w:rPr>
      </w:pPr>
    </w:p>
    <w:p w14:paraId="30F4CCD3" w14:textId="77777777" w:rsidR="005E5CCA" w:rsidRPr="00D5782E" w:rsidRDefault="005E5CCA" w:rsidP="00D5782E">
      <w:pPr>
        <w:spacing w:after="0" w:line="360" w:lineRule="auto"/>
        <w:ind w:firstLine="567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</w:pPr>
    </w:p>
    <w:p w14:paraId="3A6286EE" w14:textId="77777777" w:rsidR="005E5CCA" w:rsidRPr="00D5782E" w:rsidRDefault="005E5CCA" w:rsidP="00D5782E">
      <w:pPr>
        <w:spacing w:after="0" w:line="360" w:lineRule="auto"/>
        <w:ind w:firstLine="567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</w:pPr>
    </w:p>
    <w:p w14:paraId="70DF2EDA" w14:textId="77777777" w:rsidR="005E5CCA" w:rsidRPr="00D5782E" w:rsidRDefault="005E5CCA" w:rsidP="00D5782E">
      <w:pPr>
        <w:spacing w:after="0" w:line="360" w:lineRule="auto"/>
        <w:ind w:firstLine="567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</w:pPr>
    </w:p>
    <w:p w14:paraId="3D154B98" w14:textId="77777777" w:rsidR="005E5CCA" w:rsidRPr="00D5782E" w:rsidRDefault="005E5CCA" w:rsidP="00D5782E">
      <w:pPr>
        <w:spacing w:after="0" w:line="360" w:lineRule="auto"/>
        <w:ind w:firstLine="567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</w:pPr>
    </w:p>
    <w:p w14:paraId="7501DD5C" w14:textId="77777777" w:rsidR="005E5CCA" w:rsidRPr="00D5782E" w:rsidRDefault="005E5CCA" w:rsidP="00D5782E">
      <w:pPr>
        <w:spacing w:after="0" w:line="360" w:lineRule="auto"/>
        <w:ind w:firstLine="567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</w:pPr>
    </w:p>
    <w:p w14:paraId="6395F5C6" w14:textId="77777777" w:rsidR="005E5CCA" w:rsidRPr="00D5782E" w:rsidRDefault="005E5CCA" w:rsidP="00D5782E">
      <w:pPr>
        <w:spacing w:after="0" w:line="360" w:lineRule="auto"/>
        <w:ind w:firstLine="567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</w:pPr>
    </w:p>
    <w:p w14:paraId="0B02A7BE" w14:textId="77777777" w:rsidR="005E5CCA" w:rsidRPr="00D5782E" w:rsidRDefault="005E5CCA" w:rsidP="00D5782E">
      <w:pPr>
        <w:spacing w:after="0" w:line="360" w:lineRule="auto"/>
        <w:ind w:firstLine="567"/>
        <w:jc w:val="center"/>
        <w:rPr>
          <w:rFonts w:ascii="GHEA Grapalat" w:eastAsia="Times New Roman" w:hAnsi="GHEA Grapalat" w:cs="GHEA Grapalat"/>
          <w:b/>
          <w:bCs/>
          <w:sz w:val="24"/>
          <w:szCs w:val="24"/>
          <w:lang w:val="hy-AM" w:eastAsia="ru-RU"/>
        </w:rPr>
      </w:pPr>
    </w:p>
    <w:p w14:paraId="3F2FFDB7" w14:textId="3BDDAAB1" w:rsidR="009117E0" w:rsidRPr="00BC255D" w:rsidRDefault="009117E0" w:rsidP="00BC255D">
      <w:pPr>
        <w:tabs>
          <w:tab w:val="left" w:pos="142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9117E0" w:rsidRPr="00BC255D" w:rsidSect="00AB01BB">
      <w:pgSz w:w="12240" w:h="15840"/>
      <w:pgMar w:top="993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54B"/>
    <w:multiLevelType w:val="hybridMultilevel"/>
    <w:tmpl w:val="0054FA48"/>
    <w:lvl w:ilvl="0" w:tplc="0809000F">
      <w:start w:val="1"/>
      <w:numFmt w:val="decimal"/>
      <w:lvlText w:val="%1."/>
      <w:lvlJc w:val="left"/>
      <w:pPr>
        <w:ind w:left="1503" w:hanging="360"/>
      </w:pPr>
    </w:lvl>
    <w:lvl w:ilvl="1" w:tplc="08090019" w:tentative="1">
      <w:start w:val="1"/>
      <w:numFmt w:val="lowerLetter"/>
      <w:lvlText w:val="%2."/>
      <w:lvlJc w:val="left"/>
      <w:pPr>
        <w:ind w:left="2223" w:hanging="360"/>
      </w:pPr>
    </w:lvl>
    <w:lvl w:ilvl="2" w:tplc="0809001B" w:tentative="1">
      <w:start w:val="1"/>
      <w:numFmt w:val="lowerRoman"/>
      <w:lvlText w:val="%3."/>
      <w:lvlJc w:val="right"/>
      <w:pPr>
        <w:ind w:left="2943" w:hanging="180"/>
      </w:pPr>
    </w:lvl>
    <w:lvl w:ilvl="3" w:tplc="0809000F" w:tentative="1">
      <w:start w:val="1"/>
      <w:numFmt w:val="decimal"/>
      <w:lvlText w:val="%4."/>
      <w:lvlJc w:val="left"/>
      <w:pPr>
        <w:ind w:left="3663" w:hanging="360"/>
      </w:pPr>
    </w:lvl>
    <w:lvl w:ilvl="4" w:tplc="08090019" w:tentative="1">
      <w:start w:val="1"/>
      <w:numFmt w:val="lowerLetter"/>
      <w:lvlText w:val="%5."/>
      <w:lvlJc w:val="left"/>
      <w:pPr>
        <w:ind w:left="4383" w:hanging="360"/>
      </w:pPr>
    </w:lvl>
    <w:lvl w:ilvl="5" w:tplc="0809001B" w:tentative="1">
      <w:start w:val="1"/>
      <w:numFmt w:val="lowerRoman"/>
      <w:lvlText w:val="%6."/>
      <w:lvlJc w:val="right"/>
      <w:pPr>
        <w:ind w:left="5103" w:hanging="180"/>
      </w:pPr>
    </w:lvl>
    <w:lvl w:ilvl="6" w:tplc="0809000F" w:tentative="1">
      <w:start w:val="1"/>
      <w:numFmt w:val="decimal"/>
      <w:lvlText w:val="%7."/>
      <w:lvlJc w:val="left"/>
      <w:pPr>
        <w:ind w:left="5823" w:hanging="360"/>
      </w:pPr>
    </w:lvl>
    <w:lvl w:ilvl="7" w:tplc="08090019" w:tentative="1">
      <w:start w:val="1"/>
      <w:numFmt w:val="lowerLetter"/>
      <w:lvlText w:val="%8."/>
      <w:lvlJc w:val="left"/>
      <w:pPr>
        <w:ind w:left="6543" w:hanging="360"/>
      </w:pPr>
    </w:lvl>
    <w:lvl w:ilvl="8" w:tplc="08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31531B"/>
    <w:multiLevelType w:val="hybridMultilevel"/>
    <w:tmpl w:val="F5B85610"/>
    <w:lvl w:ilvl="0" w:tplc="08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DEC389F"/>
    <w:multiLevelType w:val="hybridMultilevel"/>
    <w:tmpl w:val="D3364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6449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291F5E"/>
    <w:multiLevelType w:val="hybridMultilevel"/>
    <w:tmpl w:val="43E8AD66"/>
    <w:lvl w:ilvl="0" w:tplc="B93A581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D60E2F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995383"/>
    <w:multiLevelType w:val="hybridMultilevel"/>
    <w:tmpl w:val="FC8E8400"/>
    <w:lvl w:ilvl="0" w:tplc="08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7" w15:restartNumberingAfterBreak="0">
    <w:nsid w:val="3F5014E2"/>
    <w:multiLevelType w:val="hybridMultilevel"/>
    <w:tmpl w:val="7706C71E"/>
    <w:lvl w:ilvl="0" w:tplc="05DC1B2A">
      <w:start w:val="4"/>
      <w:numFmt w:val="decimal"/>
      <w:suff w:val="nothing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F81746"/>
    <w:multiLevelType w:val="hybridMultilevel"/>
    <w:tmpl w:val="9720233C"/>
    <w:lvl w:ilvl="0" w:tplc="5B6E0CF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4355683F"/>
    <w:multiLevelType w:val="hybridMultilevel"/>
    <w:tmpl w:val="DC184748"/>
    <w:lvl w:ilvl="0" w:tplc="A22C0CB6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0" w15:restartNumberingAfterBreak="0">
    <w:nsid w:val="48300ECF"/>
    <w:multiLevelType w:val="hybridMultilevel"/>
    <w:tmpl w:val="9B101BA2"/>
    <w:lvl w:ilvl="0" w:tplc="995E4932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1" w15:restartNumberingAfterBreak="0">
    <w:nsid w:val="51950A91"/>
    <w:multiLevelType w:val="hybridMultilevel"/>
    <w:tmpl w:val="52667BB0"/>
    <w:lvl w:ilvl="0" w:tplc="8F7E4098">
      <w:start w:val="1"/>
      <w:numFmt w:val="decimal"/>
      <w:lvlText w:val="%1."/>
      <w:lvlJc w:val="left"/>
      <w:pPr>
        <w:ind w:left="46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0C22C6"/>
    <w:multiLevelType w:val="hybridMultilevel"/>
    <w:tmpl w:val="52A84FC2"/>
    <w:lvl w:ilvl="0" w:tplc="94E20C54">
      <w:start w:val="1"/>
      <w:numFmt w:val="decimal"/>
      <w:lvlText w:val="%1."/>
      <w:lvlJc w:val="left"/>
      <w:pPr>
        <w:ind w:left="735" w:hanging="360"/>
      </w:pPr>
      <w:rPr>
        <w:rFonts w:cs="Sylfae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5E7A2C51"/>
    <w:multiLevelType w:val="hybridMultilevel"/>
    <w:tmpl w:val="A6303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29480B"/>
    <w:multiLevelType w:val="hybridMultilevel"/>
    <w:tmpl w:val="5E8CB536"/>
    <w:lvl w:ilvl="0" w:tplc="6A70D27C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BC6E43"/>
    <w:multiLevelType w:val="hybridMultilevel"/>
    <w:tmpl w:val="AC1AFE32"/>
    <w:lvl w:ilvl="0" w:tplc="08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79B90718"/>
    <w:multiLevelType w:val="hybridMultilevel"/>
    <w:tmpl w:val="DB0282CA"/>
    <w:lvl w:ilvl="0" w:tplc="C7CC87F8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5"/>
  </w:num>
  <w:num w:numId="5">
    <w:abstractNumId w:val="3"/>
  </w:num>
  <w:num w:numId="6">
    <w:abstractNumId w:val="15"/>
  </w:num>
  <w:num w:numId="7">
    <w:abstractNumId w:val="0"/>
  </w:num>
  <w:num w:numId="8">
    <w:abstractNumId w:val="14"/>
  </w:num>
  <w:num w:numId="9">
    <w:abstractNumId w:val="12"/>
  </w:num>
  <w:num w:numId="10">
    <w:abstractNumId w:val="17"/>
  </w:num>
  <w:num w:numId="11">
    <w:abstractNumId w:val="1"/>
  </w:num>
  <w:num w:numId="12">
    <w:abstractNumId w:val="16"/>
  </w:num>
  <w:num w:numId="13">
    <w:abstractNumId w:val="11"/>
  </w:num>
  <w:num w:numId="14">
    <w:abstractNumId w:val="6"/>
  </w:num>
  <w:num w:numId="15">
    <w:abstractNumId w:val="9"/>
  </w:num>
  <w:num w:numId="16">
    <w:abstractNumId w:val="10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BD"/>
    <w:rsid w:val="000058D0"/>
    <w:rsid w:val="00006E33"/>
    <w:rsid w:val="0001022F"/>
    <w:rsid w:val="0003269D"/>
    <w:rsid w:val="0004330F"/>
    <w:rsid w:val="00044AE5"/>
    <w:rsid w:val="00052EBE"/>
    <w:rsid w:val="00054F08"/>
    <w:rsid w:val="0007410E"/>
    <w:rsid w:val="0008045C"/>
    <w:rsid w:val="00085B74"/>
    <w:rsid w:val="00095F40"/>
    <w:rsid w:val="0009748B"/>
    <w:rsid w:val="000A5A13"/>
    <w:rsid w:val="000A7804"/>
    <w:rsid w:val="000B27B1"/>
    <w:rsid w:val="000B5475"/>
    <w:rsid w:val="000D1140"/>
    <w:rsid w:val="000D1BFE"/>
    <w:rsid w:val="000D6E33"/>
    <w:rsid w:val="000E7E81"/>
    <w:rsid w:val="00102B81"/>
    <w:rsid w:val="0011213E"/>
    <w:rsid w:val="001222C1"/>
    <w:rsid w:val="001249BC"/>
    <w:rsid w:val="0013162F"/>
    <w:rsid w:val="00132DD0"/>
    <w:rsid w:val="00142EE2"/>
    <w:rsid w:val="00154130"/>
    <w:rsid w:val="00155381"/>
    <w:rsid w:val="001640F8"/>
    <w:rsid w:val="00173EDB"/>
    <w:rsid w:val="00174BA9"/>
    <w:rsid w:val="00175B3B"/>
    <w:rsid w:val="001D0111"/>
    <w:rsid w:val="001D543F"/>
    <w:rsid w:val="001E5ABA"/>
    <w:rsid w:val="001F2C9C"/>
    <w:rsid w:val="00204BA0"/>
    <w:rsid w:val="002151B7"/>
    <w:rsid w:val="002223A9"/>
    <w:rsid w:val="00250385"/>
    <w:rsid w:val="002621AC"/>
    <w:rsid w:val="00281E0D"/>
    <w:rsid w:val="002856EE"/>
    <w:rsid w:val="002C665A"/>
    <w:rsid w:val="002C731B"/>
    <w:rsid w:val="002D24F2"/>
    <w:rsid w:val="002E1DF6"/>
    <w:rsid w:val="00303FE8"/>
    <w:rsid w:val="00312216"/>
    <w:rsid w:val="00322C83"/>
    <w:rsid w:val="003429F5"/>
    <w:rsid w:val="00353943"/>
    <w:rsid w:val="00353C0A"/>
    <w:rsid w:val="00360346"/>
    <w:rsid w:val="003759FF"/>
    <w:rsid w:val="00375C33"/>
    <w:rsid w:val="00383BD8"/>
    <w:rsid w:val="003B6405"/>
    <w:rsid w:val="003D2AA6"/>
    <w:rsid w:val="003D7D3D"/>
    <w:rsid w:val="003F1CF6"/>
    <w:rsid w:val="003F2193"/>
    <w:rsid w:val="003F66B9"/>
    <w:rsid w:val="00401481"/>
    <w:rsid w:val="00412D31"/>
    <w:rsid w:val="00412F93"/>
    <w:rsid w:val="00416B04"/>
    <w:rsid w:val="004220A2"/>
    <w:rsid w:val="004231C5"/>
    <w:rsid w:val="00424AD4"/>
    <w:rsid w:val="00425E8A"/>
    <w:rsid w:val="00443CBC"/>
    <w:rsid w:val="004450B4"/>
    <w:rsid w:val="00451EE7"/>
    <w:rsid w:val="00453C84"/>
    <w:rsid w:val="00454F72"/>
    <w:rsid w:val="0046524C"/>
    <w:rsid w:val="00471F2A"/>
    <w:rsid w:val="00473735"/>
    <w:rsid w:val="00473BDF"/>
    <w:rsid w:val="004814F2"/>
    <w:rsid w:val="00494A01"/>
    <w:rsid w:val="00495257"/>
    <w:rsid w:val="004A1A4D"/>
    <w:rsid w:val="004B039A"/>
    <w:rsid w:val="004B35C5"/>
    <w:rsid w:val="004B6F0A"/>
    <w:rsid w:val="004C725C"/>
    <w:rsid w:val="004E230E"/>
    <w:rsid w:val="004E4B69"/>
    <w:rsid w:val="004E500F"/>
    <w:rsid w:val="005106B7"/>
    <w:rsid w:val="005330CD"/>
    <w:rsid w:val="0053545D"/>
    <w:rsid w:val="00540733"/>
    <w:rsid w:val="005474E0"/>
    <w:rsid w:val="00567CDF"/>
    <w:rsid w:val="00580A33"/>
    <w:rsid w:val="00591539"/>
    <w:rsid w:val="00594990"/>
    <w:rsid w:val="005C1789"/>
    <w:rsid w:val="005D19CD"/>
    <w:rsid w:val="005E3CE0"/>
    <w:rsid w:val="005E4272"/>
    <w:rsid w:val="005E5CCA"/>
    <w:rsid w:val="005F4DD3"/>
    <w:rsid w:val="00601E68"/>
    <w:rsid w:val="00606A3A"/>
    <w:rsid w:val="00607ADB"/>
    <w:rsid w:val="00614B3D"/>
    <w:rsid w:val="00616624"/>
    <w:rsid w:val="0062246C"/>
    <w:rsid w:val="0063176D"/>
    <w:rsid w:val="0063182D"/>
    <w:rsid w:val="006345FA"/>
    <w:rsid w:val="00636C1E"/>
    <w:rsid w:val="00641304"/>
    <w:rsid w:val="0065531F"/>
    <w:rsid w:val="0065583E"/>
    <w:rsid w:val="00662B06"/>
    <w:rsid w:val="0068103A"/>
    <w:rsid w:val="006968C9"/>
    <w:rsid w:val="00696ABF"/>
    <w:rsid w:val="006B4940"/>
    <w:rsid w:val="006C0C8B"/>
    <w:rsid w:val="006C3CC4"/>
    <w:rsid w:val="006C7173"/>
    <w:rsid w:val="006C77C2"/>
    <w:rsid w:val="006D4664"/>
    <w:rsid w:val="006D5F10"/>
    <w:rsid w:val="006D7E9C"/>
    <w:rsid w:val="006E14A2"/>
    <w:rsid w:val="006F0378"/>
    <w:rsid w:val="006F7784"/>
    <w:rsid w:val="00714BE0"/>
    <w:rsid w:val="00715BA5"/>
    <w:rsid w:val="007215E5"/>
    <w:rsid w:val="007269AB"/>
    <w:rsid w:val="0073037E"/>
    <w:rsid w:val="00747F8F"/>
    <w:rsid w:val="0075170A"/>
    <w:rsid w:val="00765AF0"/>
    <w:rsid w:val="00792122"/>
    <w:rsid w:val="00792BFE"/>
    <w:rsid w:val="007B4A33"/>
    <w:rsid w:val="007C0377"/>
    <w:rsid w:val="007C0F0E"/>
    <w:rsid w:val="007C5A56"/>
    <w:rsid w:val="007D581D"/>
    <w:rsid w:val="007E3302"/>
    <w:rsid w:val="007F50CE"/>
    <w:rsid w:val="007F6485"/>
    <w:rsid w:val="007F693B"/>
    <w:rsid w:val="00800634"/>
    <w:rsid w:val="00801FD3"/>
    <w:rsid w:val="00804FFA"/>
    <w:rsid w:val="008137A8"/>
    <w:rsid w:val="00824803"/>
    <w:rsid w:val="008262EB"/>
    <w:rsid w:val="00830D45"/>
    <w:rsid w:val="008324E0"/>
    <w:rsid w:val="00833476"/>
    <w:rsid w:val="00841359"/>
    <w:rsid w:val="00854099"/>
    <w:rsid w:val="008572C8"/>
    <w:rsid w:val="008629BB"/>
    <w:rsid w:val="008935B7"/>
    <w:rsid w:val="008A4464"/>
    <w:rsid w:val="008A564D"/>
    <w:rsid w:val="008E29F2"/>
    <w:rsid w:val="008E5805"/>
    <w:rsid w:val="009056A1"/>
    <w:rsid w:val="009117E0"/>
    <w:rsid w:val="009138BA"/>
    <w:rsid w:val="009210D1"/>
    <w:rsid w:val="00925DD8"/>
    <w:rsid w:val="00930607"/>
    <w:rsid w:val="00942AA1"/>
    <w:rsid w:val="009464BF"/>
    <w:rsid w:val="00954E18"/>
    <w:rsid w:val="0096628E"/>
    <w:rsid w:val="0097389F"/>
    <w:rsid w:val="00983456"/>
    <w:rsid w:val="009852EE"/>
    <w:rsid w:val="00995F39"/>
    <w:rsid w:val="009B2386"/>
    <w:rsid w:val="009B2965"/>
    <w:rsid w:val="009B3D97"/>
    <w:rsid w:val="009C7643"/>
    <w:rsid w:val="009E23C0"/>
    <w:rsid w:val="009F4205"/>
    <w:rsid w:val="009F6C3B"/>
    <w:rsid w:val="00A01F81"/>
    <w:rsid w:val="00A04873"/>
    <w:rsid w:val="00A131EB"/>
    <w:rsid w:val="00A15A05"/>
    <w:rsid w:val="00A23F41"/>
    <w:rsid w:val="00A252F8"/>
    <w:rsid w:val="00A316CB"/>
    <w:rsid w:val="00A317DB"/>
    <w:rsid w:val="00A43EA1"/>
    <w:rsid w:val="00A53872"/>
    <w:rsid w:val="00A61CD8"/>
    <w:rsid w:val="00A652BA"/>
    <w:rsid w:val="00A82E1D"/>
    <w:rsid w:val="00A8328D"/>
    <w:rsid w:val="00A86EB4"/>
    <w:rsid w:val="00AA4580"/>
    <w:rsid w:val="00AB01BB"/>
    <w:rsid w:val="00AB2D48"/>
    <w:rsid w:val="00AB3B88"/>
    <w:rsid w:val="00AC51CB"/>
    <w:rsid w:val="00AD4F21"/>
    <w:rsid w:val="00AE1E8A"/>
    <w:rsid w:val="00AF16E0"/>
    <w:rsid w:val="00AF259E"/>
    <w:rsid w:val="00B02553"/>
    <w:rsid w:val="00B03C89"/>
    <w:rsid w:val="00B10D00"/>
    <w:rsid w:val="00B1324F"/>
    <w:rsid w:val="00B21D11"/>
    <w:rsid w:val="00B22629"/>
    <w:rsid w:val="00B2440A"/>
    <w:rsid w:val="00B35BAF"/>
    <w:rsid w:val="00B70074"/>
    <w:rsid w:val="00B710C5"/>
    <w:rsid w:val="00BA0B64"/>
    <w:rsid w:val="00BB30FE"/>
    <w:rsid w:val="00BC255D"/>
    <w:rsid w:val="00BD258A"/>
    <w:rsid w:val="00BD7CD7"/>
    <w:rsid w:val="00BD7E67"/>
    <w:rsid w:val="00BF76A8"/>
    <w:rsid w:val="00C209B4"/>
    <w:rsid w:val="00C21520"/>
    <w:rsid w:val="00C22D77"/>
    <w:rsid w:val="00C25091"/>
    <w:rsid w:val="00C53AA7"/>
    <w:rsid w:val="00C63A67"/>
    <w:rsid w:val="00C75A55"/>
    <w:rsid w:val="00C75FF6"/>
    <w:rsid w:val="00C814E2"/>
    <w:rsid w:val="00C81F37"/>
    <w:rsid w:val="00C94D63"/>
    <w:rsid w:val="00C95195"/>
    <w:rsid w:val="00C957A1"/>
    <w:rsid w:val="00CA13A9"/>
    <w:rsid w:val="00CA43D0"/>
    <w:rsid w:val="00CA54E0"/>
    <w:rsid w:val="00CD78A8"/>
    <w:rsid w:val="00CE27AF"/>
    <w:rsid w:val="00CE5C24"/>
    <w:rsid w:val="00CE79AD"/>
    <w:rsid w:val="00CF6BB2"/>
    <w:rsid w:val="00D252A4"/>
    <w:rsid w:val="00D25A13"/>
    <w:rsid w:val="00D27CE3"/>
    <w:rsid w:val="00D30AE5"/>
    <w:rsid w:val="00D40E35"/>
    <w:rsid w:val="00D42A30"/>
    <w:rsid w:val="00D5782E"/>
    <w:rsid w:val="00DA0663"/>
    <w:rsid w:val="00DA09CD"/>
    <w:rsid w:val="00DA1A6D"/>
    <w:rsid w:val="00DB3E79"/>
    <w:rsid w:val="00DB607E"/>
    <w:rsid w:val="00DC2424"/>
    <w:rsid w:val="00DC7454"/>
    <w:rsid w:val="00DD4F1F"/>
    <w:rsid w:val="00DF78EB"/>
    <w:rsid w:val="00E142D3"/>
    <w:rsid w:val="00E267F1"/>
    <w:rsid w:val="00E32830"/>
    <w:rsid w:val="00E47FBD"/>
    <w:rsid w:val="00E510FC"/>
    <w:rsid w:val="00E5306C"/>
    <w:rsid w:val="00E56523"/>
    <w:rsid w:val="00E60EE1"/>
    <w:rsid w:val="00E75571"/>
    <w:rsid w:val="00E76D92"/>
    <w:rsid w:val="00E8144F"/>
    <w:rsid w:val="00E84817"/>
    <w:rsid w:val="00E85DCA"/>
    <w:rsid w:val="00E87960"/>
    <w:rsid w:val="00E87F3C"/>
    <w:rsid w:val="00E96BAF"/>
    <w:rsid w:val="00EA5FA3"/>
    <w:rsid w:val="00EB0FBD"/>
    <w:rsid w:val="00EC2154"/>
    <w:rsid w:val="00F125BA"/>
    <w:rsid w:val="00F161CF"/>
    <w:rsid w:val="00F25BA7"/>
    <w:rsid w:val="00F2700B"/>
    <w:rsid w:val="00F3340D"/>
    <w:rsid w:val="00F536B7"/>
    <w:rsid w:val="00F57540"/>
    <w:rsid w:val="00F60EA0"/>
    <w:rsid w:val="00F647E7"/>
    <w:rsid w:val="00F649D5"/>
    <w:rsid w:val="00F65215"/>
    <w:rsid w:val="00F841D8"/>
    <w:rsid w:val="00F84366"/>
    <w:rsid w:val="00F84B9C"/>
    <w:rsid w:val="00F85DB6"/>
    <w:rsid w:val="00F93BFA"/>
    <w:rsid w:val="00F94625"/>
    <w:rsid w:val="00F9610F"/>
    <w:rsid w:val="00FA5AF2"/>
    <w:rsid w:val="00FD1245"/>
    <w:rsid w:val="00FD1534"/>
    <w:rsid w:val="00F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8D4F"/>
  <w15:docId w15:val="{70642891-1CDD-4C2B-84FD-6C2A70F5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0A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564D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B21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7557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E75571"/>
  </w:style>
  <w:style w:type="character" w:styleId="Emphasis">
    <w:name w:val="Emphasis"/>
    <w:uiPriority w:val="20"/>
    <w:qFormat/>
    <w:rsid w:val="00801FD3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01FD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1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E8A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E8A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8A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Uesr</dc:creator>
  <cp:keywords/>
  <dc:description/>
  <cp:lastModifiedBy>Suren Semerjyan</cp:lastModifiedBy>
  <cp:revision>3</cp:revision>
  <dcterms:created xsi:type="dcterms:W3CDTF">2025-04-04T04:59:00Z</dcterms:created>
  <dcterms:modified xsi:type="dcterms:W3CDTF">2025-04-21T09:45:00Z</dcterms:modified>
</cp:coreProperties>
</file>