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C6" w:rsidRPr="00E657DF" w:rsidRDefault="00DC7A05">
      <w:pPr>
        <w:pStyle w:val="headingtitleStyle"/>
        <w:rPr>
          <w:sz w:val="24"/>
          <w:szCs w:val="24"/>
        </w:rPr>
      </w:pPr>
      <w:bookmarkStart w:id="0" w:name="_Toc1"/>
      <w:r w:rsidRPr="00E657DF">
        <w:rPr>
          <w:sz w:val="24"/>
          <w:szCs w:val="24"/>
        </w:rPr>
        <w:t>Ամփոփաթերթ</w:t>
      </w:r>
      <w:bookmarkEnd w:id="0"/>
    </w:p>
    <w:p w:rsidR="00CD19C6" w:rsidRPr="00E657DF" w:rsidRDefault="00DC7A05">
      <w:pPr>
        <w:pStyle w:val="headingtitleStyle"/>
        <w:rPr>
          <w:sz w:val="24"/>
          <w:szCs w:val="24"/>
        </w:rPr>
      </w:pPr>
      <w:bookmarkStart w:id="1" w:name="_Toc2"/>
      <w:r w:rsidRPr="00E657DF">
        <w:rPr>
          <w:sz w:val="24"/>
          <w:szCs w:val="24"/>
        </w:rPr>
        <w:t>ՀԱՅԱՍՏԱՆԻ ՀԱՆՐԱՊԵՏՈՒԹՅԱՆ ԿԱՌԱՎԱՐՈՒԹՅԱՆ 2023 ԹՎԱԿԱՆԻ ՆՈՅԵՄԲԵՐԻ 30-Ի N 2106-Ն ՈՐՈՇՄԱՆ ՄԵՋ ԼՐԱՑՈՒՄՆԵՐ ԿԱՏԱՐԵԼՈՒ ՄԱՍԻՆ նախագծի վերաբերյալ</w:t>
      </w:r>
      <w:bookmarkEnd w:id="1"/>
    </w:p>
    <w:p w:rsidR="00CD19C6" w:rsidRPr="00E657DF" w:rsidRDefault="00CD19C6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201"/>
        <w:gridCol w:w="4906"/>
        <w:gridCol w:w="3541"/>
        <w:gridCol w:w="2866"/>
      </w:tblGrid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հ/</w:t>
            </w:r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հեղինակը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ind w:left="42" w:right="8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19C6" w:rsidRPr="00E657DF" w:rsidRDefault="00CD19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Arsen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Matosyan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08.05.2025 19:22:10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ԿԱՐԾԻՔ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Նախագիծը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կարևոր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քայլ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ճշգրտման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առկա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կարգավորման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կատարելագործման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ուղղությամբ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Եթե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նշված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լրացումներն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ուղղված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որևէ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ոլորտում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իրավակարգավորումների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ընդլայնմանը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սահմանմանը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ընթացակարգերի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պարզեցմանը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դրանք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նպաստել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կառավարմանը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ճկուն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Հատկապես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ողջունելի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երբ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կառավարությունը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վերանայում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նախկինում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ընդունված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որոշումները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փորձելով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դրանք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համահունչ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դարձնել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հասարակության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տեխնոլոգիական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իրողություններին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Այս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փոփոխությունները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աջակցել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ոլորտների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արդիականացմանը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օրենսդրական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դաշտի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թափանցիկությանն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կանխատեսելիությանը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Առաջարկվում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Լրացման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կետ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հստակ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հիմնավորմամբ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նշելով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անհրաժեշտությունը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ակնկալվող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ազդեցությունները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Նախքան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վերջնական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ընդունումը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իրականացնել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հանրային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քննարկումներ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շահագրգիռ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կողմերի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մասնակցությամբ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կաջակցի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դրույթների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հասցեական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կիրառելիությանը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Եթե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լրացումներն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առնչվում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ֆինանսական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վարչական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օգտագործմանը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ապահովել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դրանց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հաշվարկվածությունն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կենսունակությունը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խուսափելու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ընթացքում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հնարավոր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C731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E657DF">
              <w:rPr>
                <w:rFonts w:ascii="GHEA Grapalat" w:hAnsi="GHEA Grapalat"/>
                <w:sz w:val="24"/>
                <w:szCs w:val="24"/>
              </w:rPr>
              <w:t xml:space="preserve"> ի </w:t>
            </w:r>
            <w:proofErr w:type="spellStart"/>
            <w:r w:rsidRPr="00E657DF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Pr="00E657D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CD19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Մակիչ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Բզնունի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05.05.2025 14:49:16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Ողջունելի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նախագիծ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սակայն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կարծում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պետք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լինեն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տրամադրելու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սահմանափակումներ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հայտատուների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գործունեությունը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պետք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մանրակրկիտ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ուսումնասիրության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ենթարկվի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որպեսզի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հնարավոր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լինի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զերծ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մնալ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կոռուպցիոն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ռսիկերից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655FB8" w:rsidP="00E65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="00E657DF" w:rsidRPr="00E657DF">
              <w:rPr>
                <w:rFonts w:ascii="GHEA Grapalat" w:hAnsi="GHEA Grapalat"/>
                <w:sz w:val="24"/>
                <w:szCs w:val="24"/>
              </w:rPr>
              <w:t>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E657DF" w:rsidRPr="00E657D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7DF" w:rsidRPr="00E657DF" w:rsidRDefault="00E657DF" w:rsidP="001E4508">
            <w:pPr>
              <w:ind w:left="32" w:right="7" w:hanging="1"/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Նաիրա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Էլբակյան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28.04.2025 19:24:59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1511" w:rsidRDefault="00DC7A05" w:rsidP="002C5F7C">
            <w:pPr>
              <w:ind w:left="42" w:right="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1.Առաջարկում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հսկողության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տրամադրել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միայն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կողմից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որոշակի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մասնաբաժին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ունեցող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անձանց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կողմից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ներկայացվող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հայտատուներին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Լիցենզիայից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զրկվելու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դեպքում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սահմանել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հատուկ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մեխանիզմներ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անհատ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ձեռներեցի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անձի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կողմից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փաստացի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նույն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շինկազմակերպության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անձանց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հետագա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գործունեությանը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Pr="00E657DF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Default="00CD19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511" w:rsidRDefault="00A11511" w:rsidP="00A1151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առարկայից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է: </w:t>
            </w:r>
          </w:p>
          <w:p w:rsidR="00A11511" w:rsidRPr="00E657DF" w:rsidRDefault="00A115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Նարինե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Սերոբյան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27.04.2025 18:33:55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վերահսկման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ռիսկերի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բարձրացում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Եթե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կողմից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հիմնադրված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ընկերությունները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ստանալ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պարզեցված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իջնել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վերահսկողության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մակարդակը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առանց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անհրաժեշտ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փորձագիտական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գնահատականի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վերահսկման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անկախ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Արտոնյալ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լիցենզիայի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տրամադրման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դեպքում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ապահովել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անկախ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փորձագիտական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վերահսկողության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գործընթաց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նախքան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լիցենզիայի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տրամադրումը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կբարձրացնի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շինարարության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655F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655FB8" w:rsidP="00655F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6.2-րդ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Մարիամ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Գասպարյան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27.04.2025 00:12:33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E1" w:rsidRDefault="00DC7A05" w:rsidP="002C5F7C">
            <w:pPr>
              <w:ind w:left="42" w:right="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Ողջունելի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այն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նախաձեռնությունը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միտված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հանրային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նշանակության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շինարարության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բարձրացմանը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պատվիրատու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ներգրավմամբ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Հաշվի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առնելով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գործընթացի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կարևորությունը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. </w:t>
            </w:r>
          </w:p>
          <w:p w:rsidR="00A402E1" w:rsidRDefault="00DC7A05" w:rsidP="002C5F7C">
            <w:pPr>
              <w:ind w:left="42" w:right="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•</w:t>
            </w: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ab/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Ստեղծել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ճկուն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լիցենզավորման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ընթացակարգ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կնպաստի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հիմնադրամների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արագացված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լիցենզավորմանը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•</w:t>
            </w: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ab/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հսկողության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պարբերական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արտաքին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աուդիտի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հնարավորությունը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գործընթացի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թափանցիկությունն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հաշվետվողականությունը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առավելագույնի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հասցնելու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նպատակով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841E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CD19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11511" w:rsidRPr="00E657DF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Աշխեն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Մանուկյան</w:t>
            </w:r>
            <w:proofErr w:type="spellEnd"/>
          </w:p>
          <w:p w:rsidR="00CD19C6" w:rsidRPr="00E657DF" w:rsidRDefault="00DC7A0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26.04.2025 13:13:51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DC7A05" w:rsidP="002C5F7C">
            <w:pPr>
              <w:ind w:left="42" w:right="8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Առաջարկ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մարզային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դպրոցներում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հիմնավերանորոգման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կոմունալ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պայմանների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ներդրումների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Նպատակ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Ապահովել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մարզային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դպրոցներում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անվտանգ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առողջ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էներգախնայող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ուսումնական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միջավայր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Հիմնական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ուղղություններ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Շենքերի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ամրապնդում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տանիքների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ջերմամեկուսացման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բարելավում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Ջեռուցման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նորագույն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տեղադրում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գազային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արևային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էներգիայով</w:t>
            </w:r>
            <w:proofErr w:type="spellEnd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)։</w:t>
            </w:r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Ջրամատակարարման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կոյուղու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արդիականացում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մաքրման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ֆիլտրերի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տեղադրում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Էներգիայի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ջրի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խնայող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լուծումների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Ներդրումային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-համայնքային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համաֆինանսավորում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զարգացման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ծրագրեր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Մասնավոր-հանրային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գործընկերություն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(PPP</w:t>
            </w:r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)։</w:t>
            </w:r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Ակնկալվող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արդյունքներ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Աշակերտների</w:t>
            </w:r>
            <w:proofErr w:type="spellEnd"/>
            <w:proofErr w:type="gram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ապահով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հարմարավետ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պայմաններ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Էներգետիկ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կոմունալ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ծախսերի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զգալի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կրճատում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։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Կրթության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որակի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մատչելիության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բարձրացում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մարզերում</w:t>
            </w:r>
            <w:proofErr w:type="spellEnd"/>
            <w:r w:rsidRPr="00E657D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։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9C6" w:rsidRPr="00E657DF" w:rsidRDefault="004B46B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3B3" w:rsidRPr="00E943B3" w:rsidRDefault="00E943B3" w:rsidP="00E943B3">
            <w:pPr>
              <w:shd w:val="clear" w:color="auto" w:fill="FFFFFF"/>
              <w:spacing w:line="360" w:lineRule="auto"/>
              <w:ind w:left="106"/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proofErr w:type="spellStart"/>
            <w:r w:rsidRPr="00E943B3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E943B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01B0A">
              <w:rPr>
                <w:rFonts w:ascii="GHEA Grapalat" w:hAnsi="GHEA Grapalat"/>
                <w:sz w:val="24"/>
                <w:szCs w:val="24"/>
              </w:rPr>
              <w:t>հիմնավորմամբ</w:t>
            </w:r>
            <w:proofErr w:type="spellEnd"/>
            <w:r w:rsidRPr="00E943B3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943B3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E943B3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E943B3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կարգավորման ենթակա խնդրի սահմանումը</w:t>
            </w:r>
            <w: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:</w:t>
            </w:r>
          </w:p>
          <w:p w:rsidR="00CD19C6" w:rsidRPr="00E657DF" w:rsidRDefault="00CD19C6" w:rsidP="00E943B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DC7A05" w:rsidRPr="00E657DF" w:rsidRDefault="00DC7A05">
      <w:pPr>
        <w:rPr>
          <w:rFonts w:ascii="GHEA Grapalat" w:hAnsi="GHEA Grapalat"/>
          <w:sz w:val="24"/>
          <w:szCs w:val="24"/>
        </w:rPr>
      </w:pPr>
    </w:p>
    <w:sectPr w:rsidR="00DC7A05" w:rsidRPr="00E657DF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60F6"/>
    <w:multiLevelType w:val="hybridMultilevel"/>
    <w:tmpl w:val="1966CB66"/>
    <w:lvl w:ilvl="0" w:tplc="79149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19C6"/>
    <w:rsid w:val="001E4508"/>
    <w:rsid w:val="00257473"/>
    <w:rsid w:val="002C5F7C"/>
    <w:rsid w:val="004A0C49"/>
    <w:rsid w:val="004B46B3"/>
    <w:rsid w:val="00655FB8"/>
    <w:rsid w:val="007E4BAA"/>
    <w:rsid w:val="007F2AFC"/>
    <w:rsid w:val="00841EE5"/>
    <w:rsid w:val="00A11511"/>
    <w:rsid w:val="00A402E1"/>
    <w:rsid w:val="00C731ED"/>
    <w:rsid w:val="00CD19C6"/>
    <w:rsid w:val="00D01B0A"/>
    <w:rsid w:val="00DC7A05"/>
    <w:rsid w:val="00DE0FC1"/>
    <w:rsid w:val="00E657DF"/>
    <w:rsid w:val="00E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1C44A-2579-4178-B2DF-89F30D55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bCs/>
      <w:caps/>
      <w:color w:val="000000"/>
      <w:sz w:val="28"/>
      <w:szCs w:val="28"/>
    </w:rPr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E943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17</cp:revision>
  <dcterms:created xsi:type="dcterms:W3CDTF">2025-05-12T05:15:00Z</dcterms:created>
  <dcterms:modified xsi:type="dcterms:W3CDTF">2025-05-12T07:53:00Z</dcterms:modified>
  <cp:category/>
</cp:coreProperties>
</file>