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53EFE" w14:textId="77777777" w:rsidR="00584019" w:rsidRPr="00550963" w:rsidRDefault="00584019" w:rsidP="00695042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ՀԻՄՆԱՎՈՐՈՒՄ</w:t>
      </w:r>
    </w:p>
    <w:p w14:paraId="68EE3E35" w14:textId="08B5C847" w:rsidR="00584019" w:rsidRPr="00550963" w:rsidRDefault="00584019" w:rsidP="00695042">
      <w:pPr>
        <w:spacing w:line="360" w:lineRule="auto"/>
        <w:ind w:firstLine="720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«ՀԱՅԱՍՏԱՆԻ ՀԱՆՐԱՊԵՏՈՒԹՅԱՆ ՀԱՐԿԱՅԻՆ ՕՐԵՆՍԳՐՔՈՒՄ </w:t>
      </w:r>
      <w:r w:rsidR="00CB4556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ԼՐԱՑՈՒՄ</w:t>
      </w:r>
      <w:r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ԿԱՏԱՐԵԼՈՒ ՄԱՍԻՆ» ՕՐԵՆՔԻ ՆԱԽԱԳԾԻ ԸՆԴՈՒՆՄԱՆ</w:t>
      </w:r>
    </w:p>
    <w:p w14:paraId="16D57057" w14:textId="2A92BF18" w:rsidR="00584019" w:rsidRDefault="00584019" w:rsidP="00BF6DB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BF6DBE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Ընթացիկ իրավիճակը </w:t>
      </w:r>
      <w:r w:rsidR="000E42E2" w:rsidRPr="00BF6DBE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և</w:t>
      </w:r>
      <w:r w:rsidRPr="00BF6DBE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 իրավական ակտի ընդունման անհրաժեշտությունը</w:t>
      </w:r>
    </w:p>
    <w:p w14:paraId="26F66EFC" w14:textId="00D297A1" w:rsidR="00BF6DBE" w:rsidRPr="003A08A8" w:rsidRDefault="00BF6DBE" w:rsidP="00497FB9">
      <w:pPr>
        <w:pStyle w:val="ListParagraph"/>
        <w:spacing w:after="0" w:line="360" w:lineRule="auto"/>
        <w:ind w:left="90" w:firstLine="63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3A08A8">
        <w:rPr>
          <w:rFonts w:ascii="GHEA Grapalat" w:eastAsia="Calibri" w:hAnsi="GHEA Grapalat" w:cs="Times New Roman"/>
          <w:sz w:val="24"/>
          <w:szCs w:val="24"/>
          <w:lang w:val="hy-AM"/>
        </w:rPr>
        <w:t>2019 թվականից գործում է հարկային արտոնություն /</w:t>
      </w:r>
      <w:r w:rsidRPr="003A08A8">
        <w:rPr>
          <w:rFonts w:ascii="GHEA Grapalat" w:hAnsi="GHEA Grapalat"/>
          <w:sz w:val="24"/>
          <w:szCs w:val="24"/>
          <w:lang w:val="hy-AM"/>
        </w:rPr>
        <w:t>ՀՀ հարկային օրենսգիրք 64-րդ հոդված</w:t>
      </w:r>
      <w:r w:rsidRPr="003A08A8">
        <w:rPr>
          <w:rFonts w:ascii="GHEA Grapalat" w:eastAsia="Calibri" w:hAnsi="GHEA Grapalat" w:cs="Times New Roman"/>
          <w:sz w:val="24"/>
          <w:szCs w:val="24"/>
          <w:lang w:val="hy-AM"/>
        </w:rPr>
        <w:t>/, համաձայն որի</w:t>
      </w:r>
      <w:r w:rsidR="0092775D"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  <w:r w:rsidRPr="003A08A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3A08A8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Pr="003A08A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2026 թվականի հունվարի 1-ը  ավելացված արժեքի հարկից ազատվում են ԵԱՏՄ ԱՏԳ ԱԱ 8702 40 000, 8703 80 000 և 8711 60 ծածկագրերին  դասվող  տրանսպորտային միջոցների ներմուծումը և (կամ) օտարումը (էլեկտրական շարժիչով մեծ, միջին և փոքր ավտոբուսներ, մարդատար տրանսպորտային միջոցներ, մոտոցիկլետներ և մոպեդներ):</w:t>
      </w:r>
    </w:p>
    <w:p w14:paraId="71E155F2" w14:textId="4BA57CC9" w:rsidR="00BF6DBE" w:rsidRPr="003A08A8" w:rsidRDefault="00BF6DBE" w:rsidP="003A08A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A08A8">
        <w:rPr>
          <w:rFonts w:ascii="GHEA Grapalat" w:eastAsia="Times New Roman" w:hAnsi="GHEA Grapalat"/>
          <w:sz w:val="24"/>
          <w:szCs w:val="24"/>
          <w:lang w:val="hy-AM"/>
        </w:rPr>
        <w:t>Մաքսային միության հանձնաժողովի 2009 թվականի նոյեմբերի 27-ի «Եվրասիական տնտեսական միության միասնական մաքսասակագնային կարգավորման մասին» N130 որոշման 7-րդ կետի 7.1.38-րդ ենթակետով սահմանվել են՝ ԵԱՏՄ ԱՏԳ ԱԱ 8703 80 000 2 ծածկագրին դասվող էլեկտրաշարժիչով շարժիչային տրանսպորտային միջոցների /ըստ ԵԱՏՄ անդամ երկրների/ երրորդ երկրներից ներմուծման մասով սակագնային արտոնության /քվոտա/ չափաքանակները</w:t>
      </w:r>
      <w:r w:rsidR="00A3590E" w:rsidRPr="003A08A8">
        <w:rPr>
          <w:rFonts w:ascii="GHEA Grapalat" w:eastAsia="Times New Roman" w:hAnsi="GHEA Grapalat"/>
          <w:sz w:val="24"/>
          <w:szCs w:val="24"/>
          <w:lang w:val="hy-AM"/>
        </w:rPr>
        <w:t xml:space="preserve">, մասնավորապես՝ </w:t>
      </w:r>
      <w:r w:rsidR="00A3590E" w:rsidRPr="003A08A8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AB1A01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A3590E" w:rsidRPr="003A08A8">
        <w:rPr>
          <w:rFonts w:ascii="GHEA Grapalat" w:hAnsi="GHEA Grapalat"/>
          <w:sz w:val="24"/>
          <w:szCs w:val="24"/>
          <w:lang w:val="hy-AM"/>
        </w:rPr>
        <w:t xml:space="preserve"> համար էլեկտրական շարժիչով տրանսպորտային միջոցների ներմուծման մաքսատուրքից ազատման արտոնությունը տրամադրվում է 2024թ</w:t>
      </w:r>
      <w:r w:rsidR="00A3590E" w:rsidRPr="003A08A8">
        <w:rPr>
          <w:rFonts w:ascii="Cambria Math" w:hAnsi="Cambria Math" w:cs="Cambria Math"/>
          <w:sz w:val="24"/>
          <w:szCs w:val="24"/>
          <w:lang w:val="hy-AM"/>
        </w:rPr>
        <w:t>․</w:t>
      </w:r>
      <w:r w:rsidR="00A3590E" w:rsidRPr="003A08A8">
        <w:rPr>
          <w:rFonts w:ascii="GHEA Grapalat" w:hAnsi="GHEA Grapalat"/>
          <w:sz w:val="24"/>
          <w:szCs w:val="24"/>
          <w:lang w:val="hy-AM"/>
        </w:rPr>
        <w:t xml:space="preserve"> և 2025թ</w:t>
      </w:r>
      <w:r w:rsidR="00A3590E" w:rsidRPr="003A08A8">
        <w:rPr>
          <w:rFonts w:ascii="Cambria Math" w:hAnsi="Cambria Math" w:cs="Cambria Math"/>
          <w:sz w:val="24"/>
          <w:szCs w:val="24"/>
          <w:lang w:val="hy-AM"/>
        </w:rPr>
        <w:t>․</w:t>
      </w:r>
      <w:r w:rsidR="00A3590E" w:rsidRPr="003A08A8">
        <w:rPr>
          <w:rFonts w:ascii="GHEA Grapalat" w:hAnsi="GHEA Grapalat"/>
          <w:sz w:val="24"/>
          <w:szCs w:val="24"/>
          <w:lang w:val="hy-AM"/>
        </w:rPr>
        <w:t xml:space="preserve"> համար տարեկան 8000 հատ քվոտայով</w:t>
      </w:r>
      <w:r w:rsidR="00DE490D" w:rsidRPr="003A08A8">
        <w:rPr>
          <w:rFonts w:ascii="GHEA Grapalat" w:hAnsi="GHEA Grapalat"/>
          <w:sz w:val="24"/>
          <w:szCs w:val="24"/>
          <w:lang w:val="hy-AM"/>
        </w:rPr>
        <w:t>։</w:t>
      </w:r>
    </w:p>
    <w:p w14:paraId="76579CF2" w14:textId="3E86DCAF" w:rsidR="00395870" w:rsidRDefault="00395870" w:rsidP="00395870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Երևան քաղաքի ավագանու 202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4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թվականի դեկտեմբերի 2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4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-ի 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Ե</w:t>
      </w:r>
      <w:r w:rsidRPr="0039587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ր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Pr="0039587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ան համայնքում 2025 թվականի տեղական վճարների գծով արտոնություններ սահմանելու մասին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 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N 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267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-Ն որոշման համաձայն՝ </w:t>
      </w:r>
      <w:r w:rsidRPr="00395870">
        <w:rPr>
          <w:rFonts w:ascii="GHEA Grapalat" w:eastAsia="Times New Roman" w:hAnsi="GHEA Grapalat"/>
          <w:sz w:val="24"/>
          <w:szCs w:val="24"/>
          <w:lang w:val="hy-AM"/>
        </w:rPr>
        <w:t xml:space="preserve">որպես վառելիք էլեկտրաէներգիա օգտագործող և բացառապես էլեկտրական շարժիչով աշխատող ավտոտրանսպորտային միջոցի (էլեկտրամոբիլ) սեփականատեր կամ այլ օրինական տիրապետող հանդիսացող և այն ղեկավարող անձանց համար 2025 թվականի՝ մեկ </w:t>
      </w:r>
      <w:r w:rsidRPr="00395870">
        <w:rPr>
          <w:rFonts w:ascii="GHEA Grapalat" w:eastAsia="Times New Roman" w:hAnsi="GHEA Grapalat"/>
          <w:sz w:val="24"/>
          <w:szCs w:val="24"/>
          <w:lang w:val="hy-AM"/>
        </w:rPr>
        <w:lastRenderedPageBreak/>
        <w:t>տարվա համար (մինչև 2025 թվականի դեկտեմբերի 31-ը ներառյալ) սահմանված տեղական վճարի դրույքաչափի նկատմամբ կիրառվում է արտոնություն՝ ազատելով Երևան քաղաքի «Ա» և «Բ» գոտիների համար հաշվարկված ավտոկայանատեղի տեղական վճարի վճարումից</w:t>
      </w:r>
      <w:r w:rsidR="003A08A8">
        <w:rPr>
          <w:rFonts w:ascii="GHEA Grapalat" w:eastAsia="Times New Roman" w:hAnsi="GHEA Grapalat"/>
          <w:sz w:val="24"/>
          <w:szCs w:val="24"/>
          <w:lang w:val="hy-AM"/>
        </w:rPr>
        <w:t>։</w:t>
      </w:r>
    </w:p>
    <w:p w14:paraId="59CA6D1F" w14:textId="31B821E5" w:rsidR="00584019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bookmarkStart w:id="0" w:name="_Hlk130473251"/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Վերոնշյալ իրավական կարգավոր</w:t>
      </w:r>
      <w:r w:rsidR="003A08A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ումների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արդյունքում</w:t>
      </w:r>
      <w:r w:rsidR="000A7B60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՝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հանրապետությունում ստեղծվել է </w:t>
      </w:r>
      <w:r w:rsidR="006235B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առավել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բարենպաստ միջավայր </w:t>
      </w:r>
      <w:r w:rsidR="000A7B60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նշյալ 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էլեկտրական շարժիչով աշխատող տրանսպորտային միջոցների </w:t>
      </w:r>
      <w:r w:rsidR="003A5F75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ներ</w:t>
      </w:r>
      <w:r w:rsidR="003A08A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մուծումը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խթանելու համար:</w:t>
      </w:r>
    </w:p>
    <w:p w14:paraId="6CF321BF" w14:textId="77777777" w:rsidR="00DC38C7" w:rsidRPr="0092775D" w:rsidRDefault="00300B4E" w:rsidP="00300B4E">
      <w:pPr>
        <w:pStyle w:val="ListParagraph"/>
        <w:tabs>
          <w:tab w:val="left" w:pos="990"/>
        </w:tabs>
        <w:spacing w:after="0" w:line="360" w:lineRule="auto"/>
        <w:ind w:left="90" w:firstLine="630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  <w:r w:rsidRPr="0092775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Ը</w:t>
      </w:r>
      <w:r w:rsidR="00E37237" w:rsidRPr="0092775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ստ </w:t>
      </w:r>
      <w:r w:rsidR="006604F6" w:rsidRPr="0092775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վիճակագրական տվյալների՝ </w:t>
      </w:r>
    </w:p>
    <w:p w14:paraId="65036E62" w14:textId="4E40F412" w:rsidR="00E37237" w:rsidRPr="0092775D" w:rsidRDefault="00DC38C7" w:rsidP="00300B4E">
      <w:pPr>
        <w:pStyle w:val="ListParagraph"/>
        <w:tabs>
          <w:tab w:val="left" w:pos="990"/>
        </w:tabs>
        <w:spacing w:after="0" w:line="360" w:lineRule="auto"/>
        <w:ind w:left="90" w:firstLine="63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92775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Բ</w:t>
      </w:r>
      <w:r w:rsidR="006604F6" w:rsidRPr="0092775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արեփոխումների արդյունքում</w:t>
      </w:r>
      <w:r w:rsidR="006604F6" w:rsidRPr="0092775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6604F6" w:rsidRPr="0092775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2017-2024թ</w:t>
      </w:r>
      <w:r w:rsidR="006604F6" w:rsidRPr="0092775D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/>
          <w14:ligatures w14:val="none"/>
        </w:rPr>
        <w:t>․</w:t>
      </w:r>
      <w:r w:rsidR="006604F6" w:rsidRPr="0092775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6604F6" w:rsidRPr="0092775D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/>
          <w14:ligatures w14:val="none"/>
        </w:rPr>
        <w:t>ընթացքում</w:t>
      </w:r>
      <w:r w:rsidR="006604F6" w:rsidRPr="0092775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ՀՀ տարածք ներմուծված՝</w:t>
      </w:r>
      <w:r w:rsidR="00E37237" w:rsidRPr="0092775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E37237" w:rsidRPr="0092775D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/>
          <w14:ligatures w14:val="none"/>
        </w:rPr>
        <w:t>ԵԱՏՄ</w:t>
      </w:r>
      <w:r w:rsidR="00E37237" w:rsidRPr="0092775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E37237" w:rsidRPr="0092775D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/>
          <w14:ligatures w14:val="none"/>
        </w:rPr>
        <w:t>ԱՏԳ</w:t>
      </w:r>
      <w:r w:rsidR="00E37237" w:rsidRPr="0092775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E37237" w:rsidRPr="0092775D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/>
          <w14:ligatures w14:val="none"/>
        </w:rPr>
        <w:t>ԱԱ</w:t>
      </w:r>
      <w:r w:rsidR="006604F6" w:rsidRPr="0092775D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/>
          <w14:ligatures w14:val="none"/>
        </w:rPr>
        <w:t xml:space="preserve"> 8702 40 000,</w:t>
      </w:r>
      <w:r w:rsidR="00E37237" w:rsidRPr="0092775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8703 80 000 </w:t>
      </w:r>
      <w:r w:rsidR="006604F6" w:rsidRPr="0092775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 8711 60</w:t>
      </w:r>
      <w:r w:rsidR="00E37237" w:rsidRPr="0092775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E37237" w:rsidRPr="0092775D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/>
          <w14:ligatures w14:val="none"/>
        </w:rPr>
        <w:t>ծածկագրի</w:t>
      </w:r>
      <w:r w:rsidR="00E37237" w:rsidRPr="0092775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E37237" w:rsidRPr="0092775D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/>
          <w14:ligatures w14:val="none"/>
        </w:rPr>
        <w:t>ներքո</w:t>
      </w:r>
      <w:r w:rsidR="00E37237" w:rsidRPr="0092775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E37237" w:rsidRPr="0092775D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/>
          <w14:ligatures w14:val="none"/>
        </w:rPr>
        <w:t>դասվող</w:t>
      </w:r>
      <w:r w:rsidR="00E37237" w:rsidRPr="0092775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E37237" w:rsidRPr="0092775D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/>
          <w14:ligatures w14:val="none"/>
        </w:rPr>
        <w:t>էլեկտրաշարժիչով</w:t>
      </w:r>
      <w:r w:rsidR="00E37237" w:rsidRPr="0092775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E37237" w:rsidRPr="0092775D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/>
          <w14:ligatures w14:val="none"/>
        </w:rPr>
        <w:t>շարժիչային</w:t>
      </w:r>
      <w:r w:rsidR="00E37237" w:rsidRPr="0092775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E37237" w:rsidRPr="0092775D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/>
          <w14:ligatures w14:val="none"/>
        </w:rPr>
        <w:t>տրանսպորտային</w:t>
      </w:r>
      <w:r w:rsidR="00E37237" w:rsidRPr="0092775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E37237" w:rsidRPr="0092775D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/>
          <w14:ligatures w14:val="none"/>
        </w:rPr>
        <w:t>միջոցների</w:t>
      </w:r>
      <w:r w:rsidR="00E37237" w:rsidRPr="0092775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6604F6" w:rsidRPr="0092775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դինամիկան ունի </w:t>
      </w:r>
      <w:r w:rsidR="00E37237" w:rsidRPr="0092775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հետևյալ </w:t>
      </w:r>
      <w:r w:rsidR="006604F6" w:rsidRPr="0092775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տեսքը</w:t>
      </w:r>
      <w:r w:rsidR="00E37237" w:rsidRPr="0092775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:</w:t>
      </w: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709"/>
        <w:gridCol w:w="708"/>
        <w:gridCol w:w="709"/>
        <w:gridCol w:w="709"/>
        <w:gridCol w:w="850"/>
        <w:gridCol w:w="851"/>
        <w:gridCol w:w="850"/>
        <w:gridCol w:w="993"/>
        <w:gridCol w:w="850"/>
      </w:tblGrid>
      <w:tr w:rsidR="00E67FE4" w:rsidRPr="0092775D" w14:paraId="7D399302" w14:textId="77777777" w:rsidTr="00FB48C7">
        <w:trPr>
          <w:trHeight w:val="277"/>
        </w:trPr>
        <w:tc>
          <w:tcPr>
            <w:tcW w:w="709" w:type="dxa"/>
            <w:shd w:val="clear" w:color="auto" w:fill="D9D9D9" w:themeFill="background1" w:themeFillShade="D9"/>
          </w:tcPr>
          <w:p w14:paraId="3C7D56E9" w14:textId="6708DA3A" w:rsidR="00E67FE4" w:rsidRPr="0092775D" w:rsidRDefault="00E67FE4" w:rsidP="00FB48C7">
            <w:pPr>
              <w:pStyle w:val="TableParagraph"/>
              <w:ind w:left="32" w:right="27"/>
              <w:contextualSpacing/>
              <w:rPr>
                <w:rFonts w:ascii="GHEA Grapalat" w:hAnsi="GHEA Grapalat"/>
                <w:spacing w:val="-5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5"/>
                <w:sz w:val="18"/>
                <w:szCs w:val="18"/>
                <w:lang w:val="hy-AM"/>
              </w:rPr>
              <w:t>ՀՀ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F7C0F99" w14:textId="4137F7CD" w:rsidR="00E67FE4" w:rsidRPr="0092775D" w:rsidRDefault="00E67FE4" w:rsidP="00FB48C7">
            <w:pPr>
              <w:pStyle w:val="TableParagraph"/>
              <w:ind w:left="105"/>
              <w:contextualSpacing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z w:val="18"/>
                <w:szCs w:val="18"/>
                <w:lang w:val="hy-AM"/>
              </w:rPr>
              <w:t>ԵԱՏՄ</w:t>
            </w:r>
            <w:r w:rsidRPr="0092775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2775D">
              <w:rPr>
                <w:rFonts w:ascii="GHEA Grapalat" w:hAnsi="GHEA Grapalat"/>
                <w:sz w:val="18"/>
                <w:szCs w:val="18"/>
                <w:lang w:val="hy-AM"/>
              </w:rPr>
              <w:t>ԱՏԳ</w:t>
            </w:r>
            <w:r w:rsidRPr="0092775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2775D">
              <w:rPr>
                <w:rFonts w:ascii="GHEA Grapalat" w:hAnsi="GHEA Grapalat"/>
                <w:sz w:val="18"/>
                <w:szCs w:val="18"/>
                <w:lang w:val="hy-AM"/>
              </w:rPr>
              <w:t>ԱԱ ծածկագրերը</w:t>
            </w:r>
          </w:p>
        </w:tc>
        <w:tc>
          <w:tcPr>
            <w:tcW w:w="709" w:type="dxa"/>
            <w:vAlign w:val="center"/>
          </w:tcPr>
          <w:p w14:paraId="456F2A16" w14:textId="5DA75FA9" w:rsidR="00E67FE4" w:rsidRPr="0092775D" w:rsidRDefault="00E67FE4" w:rsidP="00FB48C7">
            <w:pPr>
              <w:pStyle w:val="TableParagraph"/>
              <w:ind w:left="19" w:right="1"/>
              <w:contextualSpacing/>
              <w:jc w:val="center"/>
              <w:rPr>
                <w:rFonts w:ascii="GHEA Grapalat" w:hAnsi="GHEA Grapalat"/>
                <w:spacing w:val="-10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10"/>
                <w:sz w:val="18"/>
                <w:szCs w:val="18"/>
                <w:lang w:val="hy-AM"/>
              </w:rPr>
              <w:t>2017</w:t>
            </w:r>
          </w:p>
        </w:tc>
        <w:tc>
          <w:tcPr>
            <w:tcW w:w="708" w:type="dxa"/>
            <w:vAlign w:val="center"/>
          </w:tcPr>
          <w:p w14:paraId="54AE6F19" w14:textId="19EB1583" w:rsidR="00E67FE4" w:rsidRPr="0092775D" w:rsidRDefault="00E67FE4" w:rsidP="00FB48C7">
            <w:pPr>
              <w:pStyle w:val="TableParagraph"/>
              <w:ind w:left="18" w:right="5"/>
              <w:contextualSpacing/>
              <w:jc w:val="center"/>
              <w:rPr>
                <w:rFonts w:ascii="GHEA Grapalat" w:hAnsi="GHEA Grapalat"/>
                <w:spacing w:val="-10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10"/>
                <w:sz w:val="18"/>
                <w:szCs w:val="18"/>
                <w:lang w:val="hy-AM"/>
              </w:rPr>
              <w:t>2018</w:t>
            </w:r>
          </w:p>
        </w:tc>
        <w:tc>
          <w:tcPr>
            <w:tcW w:w="709" w:type="dxa"/>
            <w:vAlign w:val="center"/>
          </w:tcPr>
          <w:p w14:paraId="42E8FB82" w14:textId="5A49D875" w:rsidR="00E67FE4" w:rsidRPr="0092775D" w:rsidRDefault="00E67FE4" w:rsidP="00FB48C7">
            <w:pPr>
              <w:pStyle w:val="TableParagraph"/>
              <w:ind w:left="18" w:right="9"/>
              <w:contextualSpacing/>
              <w:jc w:val="center"/>
              <w:rPr>
                <w:rFonts w:ascii="GHEA Grapalat" w:hAnsi="GHEA Grapalat"/>
                <w:spacing w:val="-10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10"/>
                <w:sz w:val="18"/>
                <w:szCs w:val="18"/>
                <w:lang w:val="hy-AM"/>
              </w:rPr>
              <w:t>2019</w:t>
            </w:r>
          </w:p>
        </w:tc>
        <w:tc>
          <w:tcPr>
            <w:tcW w:w="709" w:type="dxa"/>
            <w:vAlign w:val="center"/>
          </w:tcPr>
          <w:p w14:paraId="7F057381" w14:textId="7889F330" w:rsidR="00E67FE4" w:rsidRPr="0092775D" w:rsidRDefault="00E67FE4" w:rsidP="00FB48C7">
            <w:pPr>
              <w:pStyle w:val="TableParagraph"/>
              <w:ind w:left="7"/>
              <w:contextualSpacing/>
              <w:jc w:val="center"/>
              <w:rPr>
                <w:rFonts w:ascii="GHEA Grapalat" w:hAnsi="GHEA Grapalat"/>
                <w:spacing w:val="-5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5"/>
                <w:sz w:val="18"/>
                <w:szCs w:val="18"/>
                <w:lang w:val="hy-AM"/>
              </w:rPr>
              <w:t>2020</w:t>
            </w:r>
          </w:p>
        </w:tc>
        <w:tc>
          <w:tcPr>
            <w:tcW w:w="850" w:type="dxa"/>
            <w:vAlign w:val="center"/>
          </w:tcPr>
          <w:p w14:paraId="0F2D0E6F" w14:textId="10BEDAFC" w:rsidR="00E67FE4" w:rsidRPr="0092775D" w:rsidRDefault="00E67FE4" w:rsidP="00FB48C7">
            <w:pPr>
              <w:pStyle w:val="TableParagraph"/>
              <w:ind w:left="16"/>
              <w:contextualSpacing/>
              <w:jc w:val="center"/>
              <w:rPr>
                <w:rFonts w:ascii="GHEA Grapalat" w:hAnsi="GHEA Grapalat"/>
                <w:spacing w:val="-10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10"/>
                <w:sz w:val="18"/>
                <w:szCs w:val="18"/>
                <w:lang w:val="hy-AM"/>
              </w:rPr>
              <w:t>2021</w:t>
            </w:r>
          </w:p>
        </w:tc>
        <w:tc>
          <w:tcPr>
            <w:tcW w:w="851" w:type="dxa"/>
            <w:vAlign w:val="center"/>
          </w:tcPr>
          <w:p w14:paraId="4E8F6176" w14:textId="0464CB52" w:rsidR="00E67FE4" w:rsidRPr="0092775D" w:rsidRDefault="00E67FE4" w:rsidP="00FB48C7">
            <w:pPr>
              <w:pStyle w:val="TableParagraph"/>
              <w:ind w:left="11"/>
              <w:contextualSpacing/>
              <w:jc w:val="center"/>
              <w:rPr>
                <w:rFonts w:ascii="GHEA Grapalat" w:hAnsi="GHEA Grapalat"/>
                <w:spacing w:val="-10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10"/>
                <w:sz w:val="18"/>
                <w:szCs w:val="18"/>
                <w:lang w:val="hy-AM"/>
              </w:rPr>
              <w:t>2022</w:t>
            </w:r>
          </w:p>
        </w:tc>
        <w:tc>
          <w:tcPr>
            <w:tcW w:w="850" w:type="dxa"/>
            <w:vAlign w:val="center"/>
          </w:tcPr>
          <w:p w14:paraId="6D9ABAFD" w14:textId="76E4F30C" w:rsidR="00E67FE4" w:rsidRPr="0092775D" w:rsidRDefault="00E67FE4" w:rsidP="00FB48C7">
            <w:pPr>
              <w:pStyle w:val="TableParagraph"/>
              <w:ind w:left="14" w:right="4"/>
              <w:contextualSpacing/>
              <w:jc w:val="center"/>
              <w:rPr>
                <w:rFonts w:ascii="GHEA Grapalat" w:hAnsi="GHEA Grapalat"/>
                <w:spacing w:val="-10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10"/>
                <w:sz w:val="18"/>
                <w:szCs w:val="18"/>
                <w:lang w:val="hy-AM"/>
              </w:rPr>
              <w:t>2023</w:t>
            </w:r>
          </w:p>
        </w:tc>
        <w:tc>
          <w:tcPr>
            <w:tcW w:w="993" w:type="dxa"/>
            <w:vAlign w:val="center"/>
          </w:tcPr>
          <w:p w14:paraId="640474EB" w14:textId="0665B761" w:rsidR="00E67FE4" w:rsidRPr="0092775D" w:rsidRDefault="00E67FE4" w:rsidP="00FB48C7">
            <w:pPr>
              <w:pStyle w:val="TableParagraph"/>
              <w:ind w:left="8" w:right="9"/>
              <w:contextualSpacing/>
              <w:jc w:val="center"/>
              <w:rPr>
                <w:rFonts w:ascii="GHEA Grapalat" w:hAnsi="GHEA Grapalat"/>
                <w:spacing w:val="-5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5"/>
                <w:sz w:val="18"/>
                <w:szCs w:val="18"/>
                <w:lang w:val="hy-AM"/>
              </w:rPr>
              <w:t>2024</w:t>
            </w:r>
          </w:p>
        </w:tc>
        <w:tc>
          <w:tcPr>
            <w:tcW w:w="850" w:type="dxa"/>
            <w:vAlign w:val="center"/>
          </w:tcPr>
          <w:p w14:paraId="1A0642B3" w14:textId="746DD671" w:rsidR="00E67FE4" w:rsidRPr="0092775D" w:rsidRDefault="00E67FE4" w:rsidP="00FB48C7">
            <w:pPr>
              <w:pStyle w:val="TableParagraph"/>
              <w:ind w:left="8" w:right="9"/>
              <w:contextualSpacing/>
              <w:jc w:val="center"/>
              <w:rPr>
                <w:rFonts w:ascii="GHEA Grapalat" w:hAnsi="GHEA Grapalat"/>
                <w:spacing w:val="-5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5"/>
                <w:sz w:val="18"/>
                <w:szCs w:val="18"/>
                <w:lang w:val="hy-AM"/>
              </w:rPr>
              <w:t>Ընդամենը</w:t>
            </w:r>
          </w:p>
        </w:tc>
      </w:tr>
      <w:tr w:rsidR="00497FB9" w:rsidRPr="0092775D" w14:paraId="200E0D28" w14:textId="77777777" w:rsidTr="00FB48C7">
        <w:trPr>
          <w:trHeight w:val="277"/>
        </w:trPr>
        <w:tc>
          <w:tcPr>
            <w:tcW w:w="709" w:type="dxa"/>
            <w:shd w:val="clear" w:color="auto" w:fill="D9D9D9" w:themeFill="background1" w:themeFillShade="D9"/>
          </w:tcPr>
          <w:p w14:paraId="08B800B0" w14:textId="77777777" w:rsidR="00497FB9" w:rsidRPr="0092775D" w:rsidRDefault="00497FB9" w:rsidP="00FB48C7">
            <w:pPr>
              <w:pStyle w:val="TableParagraph"/>
              <w:ind w:left="32" w:right="27"/>
              <w:contextualSpacing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5"/>
                <w:sz w:val="18"/>
                <w:szCs w:val="18"/>
                <w:lang w:val="hy-AM"/>
              </w:rPr>
              <w:t>1.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5FF1357" w14:textId="77777777" w:rsidR="00497FB9" w:rsidRPr="0092775D" w:rsidRDefault="00497FB9" w:rsidP="00FB48C7">
            <w:pPr>
              <w:pStyle w:val="TableParagraph"/>
              <w:ind w:left="105"/>
              <w:contextualSpacing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z w:val="18"/>
                <w:szCs w:val="18"/>
                <w:lang w:val="hy-AM"/>
              </w:rPr>
              <w:t>8702 40 000 (10 և ավելի ուղևոր)</w:t>
            </w:r>
          </w:p>
        </w:tc>
        <w:tc>
          <w:tcPr>
            <w:tcW w:w="709" w:type="dxa"/>
            <w:vAlign w:val="center"/>
          </w:tcPr>
          <w:p w14:paraId="7595BB4E" w14:textId="77777777" w:rsidR="00497FB9" w:rsidRPr="0092775D" w:rsidRDefault="00497FB9" w:rsidP="00FB48C7">
            <w:pPr>
              <w:pStyle w:val="TableParagraph"/>
              <w:ind w:left="19" w:right="1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10"/>
                <w:sz w:val="18"/>
                <w:szCs w:val="18"/>
                <w:lang w:val="hy-AM"/>
              </w:rPr>
              <w:t>X</w:t>
            </w:r>
          </w:p>
        </w:tc>
        <w:tc>
          <w:tcPr>
            <w:tcW w:w="708" w:type="dxa"/>
            <w:vAlign w:val="center"/>
          </w:tcPr>
          <w:p w14:paraId="0C3FA337" w14:textId="77777777" w:rsidR="00497FB9" w:rsidRPr="0092775D" w:rsidRDefault="00497FB9" w:rsidP="00FB48C7">
            <w:pPr>
              <w:pStyle w:val="TableParagraph"/>
              <w:ind w:left="18" w:right="5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10"/>
                <w:sz w:val="18"/>
                <w:szCs w:val="18"/>
                <w:lang w:val="hy-AM"/>
              </w:rPr>
              <w:t>X</w:t>
            </w:r>
          </w:p>
        </w:tc>
        <w:tc>
          <w:tcPr>
            <w:tcW w:w="709" w:type="dxa"/>
            <w:vAlign w:val="center"/>
          </w:tcPr>
          <w:p w14:paraId="00651C79" w14:textId="77777777" w:rsidR="00497FB9" w:rsidRPr="0092775D" w:rsidRDefault="00497FB9" w:rsidP="00FB48C7">
            <w:pPr>
              <w:pStyle w:val="TableParagraph"/>
              <w:ind w:left="18" w:right="9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10"/>
                <w:sz w:val="18"/>
                <w:szCs w:val="18"/>
                <w:lang w:val="hy-AM"/>
              </w:rPr>
              <w:t>0</w:t>
            </w:r>
          </w:p>
        </w:tc>
        <w:tc>
          <w:tcPr>
            <w:tcW w:w="709" w:type="dxa"/>
            <w:vAlign w:val="center"/>
          </w:tcPr>
          <w:p w14:paraId="4201F6DE" w14:textId="77777777" w:rsidR="00497FB9" w:rsidRPr="0092775D" w:rsidRDefault="00497FB9" w:rsidP="00FB48C7">
            <w:pPr>
              <w:pStyle w:val="TableParagraph"/>
              <w:ind w:left="7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5"/>
                <w:sz w:val="18"/>
                <w:szCs w:val="18"/>
                <w:lang w:val="hy-AM"/>
              </w:rPr>
              <w:t>40</w:t>
            </w:r>
          </w:p>
        </w:tc>
        <w:tc>
          <w:tcPr>
            <w:tcW w:w="850" w:type="dxa"/>
            <w:vAlign w:val="center"/>
          </w:tcPr>
          <w:p w14:paraId="6068833B" w14:textId="77777777" w:rsidR="00497FB9" w:rsidRPr="0092775D" w:rsidRDefault="00497FB9" w:rsidP="00FB48C7">
            <w:pPr>
              <w:pStyle w:val="TableParagraph"/>
              <w:ind w:left="16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10"/>
                <w:sz w:val="18"/>
                <w:szCs w:val="18"/>
                <w:lang w:val="hy-AM"/>
              </w:rPr>
              <w:t>0</w:t>
            </w:r>
          </w:p>
        </w:tc>
        <w:tc>
          <w:tcPr>
            <w:tcW w:w="851" w:type="dxa"/>
            <w:vAlign w:val="center"/>
          </w:tcPr>
          <w:p w14:paraId="247F5BD5" w14:textId="77777777" w:rsidR="00497FB9" w:rsidRPr="0092775D" w:rsidRDefault="00497FB9" w:rsidP="00FB48C7">
            <w:pPr>
              <w:pStyle w:val="TableParagraph"/>
              <w:ind w:left="11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10"/>
                <w:sz w:val="18"/>
                <w:szCs w:val="18"/>
                <w:lang w:val="hy-AM"/>
              </w:rPr>
              <w:t>0</w:t>
            </w:r>
          </w:p>
        </w:tc>
        <w:tc>
          <w:tcPr>
            <w:tcW w:w="850" w:type="dxa"/>
            <w:vAlign w:val="center"/>
          </w:tcPr>
          <w:p w14:paraId="44F2B559" w14:textId="77777777" w:rsidR="00497FB9" w:rsidRPr="0092775D" w:rsidRDefault="00497FB9" w:rsidP="00FB48C7">
            <w:pPr>
              <w:pStyle w:val="TableParagraph"/>
              <w:ind w:left="14" w:right="4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10"/>
                <w:sz w:val="18"/>
                <w:szCs w:val="18"/>
                <w:lang w:val="hy-AM"/>
              </w:rPr>
              <w:t>15</w:t>
            </w:r>
          </w:p>
        </w:tc>
        <w:tc>
          <w:tcPr>
            <w:tcW w:w="993" w:type="dxa"/>
            <w:vAlign w:val="center"/>
          </w:tcPr>
          <w:p w14:paraId="2E23EF4D" w14:textId="58DFA4B0" w:rsidR="00497FB9" w:rsidRPr="0092775D" w:rsidRDefault="00231295" w:rsidP="00FB48C7">
            <w:pPr>
              <w:pStyle w:val="TableParagraph"/>
              <w:ind w:left="8" w:right="9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5"/>
                <w:sz w:val="18"/>
                <w:szCs w:val="18"/>
                <w:lang w:val="hy-AM"/>
              </w:rPr>
              <w:t>24</w:t>
            </w:r>
          </w:p>
        </w:tc>
        <w:tc>
          <w:tcPr>
            <w:tcW w:w="850" w:type="dxa"/>
            <w:vAlign w:val="center"/>
          </w:tcPr>
          <w:p w14:paraId="33A019E4" w14:textId="0EBBE213" w:rsidR="00497FB9" w:rsidRPr="0092775D" w:rsidRDefault="00464093" w:rsidP="00FB48C7">
            <w:pPr>
              <w:pStyle w:val="TableParagraph"/>
              <w:ind w:left="8" w:right="9"/>
              <w:contextualSpacing/>
              <w:jc w:val="center"/>
              <w:rPr>
                <w:rFonts w:ascii="GHEA Grapalat" w:hAnsi="GHEA Grapalat"/>
                <w:spacing w:val="-5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5"/>
                <w:sz w:val="18"/>
                <w:szCs w:val="18"/>
                <w:lang w:val="hy-AM"/>
              </w:rPr>
              <w:t>39</w:t>
            </w:r>
          </w:p>
        </w:tc>
      </w:tr>
      <w:tr w:rsidR="00497FB9" w:rsidRPr="0092775D" w14:paraId="09EF6C57" w14:textId="77777777" w:rsidTr="00FB48C7">
        <w:trPr>
          <w:trHeight w:val="561"/>
        </w:trPr>
        <w:tc>
          <w:tcPr>
            <w:tcW w:w="709" w:type="dxa"/>
            <w:shd w:val="clear" w:color="auto" w:fill="D9D9D9" w:themeFill="background1" w:themeFillShade="D9"/>
          </w:tcPr>
          <w:p w14:paraId="561B7C64" w14:textId="77777777" w:rsidR="00497FB9" w:rsidRPr="0092775D" w:rsidRDefault="00497FB9" w:rsidP="00FB48C7">
            <w:pPr>
              <w:pStyle w:val="TableParagraph"/>
              <w:ind w:left="32" w:right="27"/>
              <w:contextualSpacing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5"/>
                <w:sz w:val="18"/>
                <w:szCs w:val="18"/>
                <w:lang w:val="hy-AM"/>
              </w:rPr>
              <w:t>2.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77FDF64" w14:textId="26B10935" w:rsidR="00497FB9" w:rsidRPr="0092775D" w:rsidRDefault="00497FB9" w:rsidP="00FB48C7">
            <w:pPr>
              <w:pStyle w:val="TableParagraph"/>
              <w:ind w:left="105"/>
              <w:contextualSpacing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z w:val="18"/>
                <w:szCs w:val="18"/>
                <w:lang w:val="hy-AM"/>
              </w:rPr>
              <w:t>8703 80 000 (մինչև 10 ուղևոր), այդ թվում</w:t>
            </w:r>
          </w:p>
        </w:tc>
        <w:tc>
          <w:tcPr>
            <w:tcW w:w="709" w:type="dxa"/>
            <w:vAlign w:val="center"/>
          </w:tcPr>
          <w:p w14:paraId="7FAA0213" w14:textId="77777777" w:rsidR="00497FB9" w:rsidRPr="0092775D" w:rsidRDefault="00497FB9" w:rsidP="00FB48C7">
            <w:pPr>
              <w:pStyle w:val="TableParagraph"/>
              <w:ind w:left="19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5"/>
                <w:sz w:val="18"/>
                <w:szCs w:val="18"/>
                <w:lang w:val="hy-AM"/>
              </w:rPr>
              <w:t>29</w:t>
            </w:r>
          </w:p>
        </w:tc>
        <w:tc>
          <w:tcPr>
            <w:tcW w:w="708" w:type="dxa"/>
            <w:vAlign w:val="center"/>
          </w:tcPr>
          <w:p w14:paraId="381E91C2" w14:textId="77777777" w:rsidR="00497FB9" w:rsidRPr="0092775D" w:rsidRDefault="00497FB9" w:rsidP="00FB48C7">
            <w:pPr>
              <w:pStyle w:val="TableParagraph"/>
              <w:ind w:left="18" w:right="5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5"/>
                <w:sz w:val="18"/>
                <w:szCs w:val="18"/>
                <w:lang w:val="hy-AM"/>
              </w:rPr>
              <w:t>12</w:t>
            </w:r>
          </w:p>
        </w:tc>
        <w:tc>
          <w:tcPr>
            <w:tcW w:w="709" w:type="dxa"/>
            <w:vAlign w:val="center"/>
          </w:tcPr>
          <w:p w14:paraId="07CA86E3" w14:textId="77777777" w:rsidR="00497FB9" w:rsidRPr="0092775D" w:rsidRDefault="00497FB9" w:rsidP="00FB48C7">
            <w:pPr>
              <w:pStyle w:val="TableParagraph"/>
              <w:ind w:left="18" w:right="1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5"/>
                <w:sz w:val="18"/>
                <w:szCs w:val="18"/>
                <w:lang w:val="hy-AM"/>
              </w:rPr>
              <w:t>145</w:t>
            </w:r>
          </w:p>
        </w:tc>
        <w:tc>
          <w:tcPr>
            <w:tcW w:w="709" w:type="dxa"/>
            <w:vAlign w:val="center"/>
          </w:tcPr>
          <w:p w14:paraId="7FA569E9" w14:textId="77777777" w:rsidR="00497FB9" w:rsidRPr="0092775D" w:rsidRDefault="00497FB9" w:rsidP="00FB48C7">
            <w:pPr>
              <w:pStyle w:val="TableParagraph"/>
              <w:ind w:left="7" w:right="5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5"/>
                <w:sz w:val="18"/>
                <w:szCs w:val="18"/>
                <w:lang w:val="hy-AM"/>
              </w:rPr>
              <w:t>315</w:t>
            </w:r>
          </w:p>
        </w:tc>
        <w:tc>
          <w:tcPr>
            <w:tcW w:w="850" w:type="dxa"/>
            <w:vAlign w:val="center"/>
          </w:tcPr>
          <w:p w14:paraId="07DCF95F" w14:textId="77777777" w:rsidR="00497FB9" w:rsidRPr="0092775D" w:rsidRDefault="00497FB9" w:rsidP="00FB48C7">
            <w:pPr>
              <w:pStyle w:val="TableParagraph"/>
              <w:ind w:left="16" w:right="11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>1,893</w:t>
            </w:r>
          </w:p>
        </w:tc>
        <w:tc>
          <w:tcPr>
            <w:tcW w:w="851" w:type="dxa"/>
            <w:vAlign w:val="center"/>
          </w:tcPr>
          <w:p w14:paraId="43577060" w14:textId="77777777" w:rsidR="00497FB9" w:rsidRPr="0092775D" w:rsidRDefault="00497FB9" w:rsidP="00FB48C7">
            <w:pPr>
              <w:pStyle w:val="TableParagraph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>2,663</w:t>
            </w:r>
          </w:p>
        </w:tc>
        <w:tc>
          <w:tcPr>
            <w:tcW w:w="850" w:type="dxa"/>
            <w:vAlign w:val="center"/>
          </w:tcPr>
          <w:p w14:paraId="0C7EFBEE" w14:textId="77777777" w:rsidR="00497FB9" w:rsidRPr="0092775D" w:rsidRDefault="00497FB9" w:rsidP="00FB48C7">
            <w:pPr>
              <w:pStyle w:val="TableParagraph"/>
              <w:ind w:left="14" w:right="14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>6,631</w:t>
            </w:r>
          </w:p>
        </w:tc>
        <w:tc>
          <w:tcPr>
            <w:tcW w:w="993" w:type="dxa"/>
            <w:vAlign w:val="center"/>
          </w:tcPr>
          <w:p w14:paraId="7E937FE5" w14:textId="364D1728" w:rsidR="00497FB9" w:rsidRPr="0092775D" w:rsidRDefault="00231295" w:rsidP="00FB48C7">
            <w:pPr>
              <w:pStyle w:val="TableParagraph"/>
              <w:ind w:left="8" w:right="12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>9,527</w:t>
            </w:r>
          </w:p>
        </w:tc>
        <w:tc>
          <w:tcPr>
            <w:tcW w:w="850" w:type="dxa"/>
            <w:vAlign w:val="center"/>
          </w:tcPr>
          <w:p w14:paraId="7B9E7B5C" w14:textId="540AF65D" w:rsidR="00497FB9" w:rsidRPr="0092775D" w:rsidRDefault="00464093" w:rsidP="00FB48C7">
            <w:pPr>
              <w:pStyle w:val="TableParagraph"/>
              <w:ind w:left="8" w:right="12"/>
              <w:contextualSpacing/>
              <w:jc w:val="center"/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>11,688</w:t>
            </w:r>
          </w:p>
        </w:tc>
      </w:tr>
      <w:tr w:rsidR="00497FB9" w:rsidRPr="0092775D" w14:paraId="1674DA52" w14:textId="77777777" w:rsidTr="00FB48C7">
        <w:trPr>
          <w:trHeight w:val="561"/>
        </w:trPr>
        <w:tc>
          <w:tcPr>
            <w:tcW w:w="709" w:type="dxa"/>
            <w:shd w:val="clear" w:color="auto" w:fill="D9D9D9" w:themeFill="background1" w:themeFillShade="D9"/>
          </w:tcPr>
          <w:p w14:paraId="5D116332" w14:textId="70AB287D" w:rsidR="00497FB9" w:rsidRPr="0092775D" w:rsidRDefault="00464093" w:rsidP="00FB48C7">
            <w:pPr>
              <w:pStyle w:val="TableParagraph"/>
              <w:ind w:left="32" w:right="27"/>
              <w:contextualSpacing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5"/>
                <w:sz w:val="18"/>
                <w:szCs w:val="18"/>
                <w:lang w:val="hy-AM"/>
              </w:rPr>
              <w:t>3</w:t>
            </w:r>
            <w:r w:rsidR="00497FB9" w:rsidRPr="0092775D">
              <w:rPr>
                <w:rFonts w:ascii="GHEA Grapalat" w:hAnsi="GHEA Grapalat"/>
                <w:spacing w:val="-5"/>
                <w:sz w:val="18"/>
                <w:szCs w:val="18"/>
                <w:lang w:val="hy-AM"/>
              </w:rPr>
              <w:t>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F17687A" w14:textId="77777777" w:rsidR="00497FB9" w:rsidRPr="0092775D" w:rsidRDefault="00497FB9" w:rsidP="00FB48C7">
            <w:pPr>
              <w:pStyle w:val="TableParagraph"/>
              <w:ind w:left="105"/>
              <w:contextualSpacing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z w:val="18"/>
                <w:szCs w:val="18"/>
                <w:lang w:val="hy-AM"/>
              </w:rPr>
              <w:t xml:space="preserve">8711 60 (մոպեդ, մոտոցիկլ, </w:t>
            </w:r>
          </w:p>
          <w:p w14:paraId="400FFF11" w14:textId="77777777" w:rsidR="00497FB9" w:rsidRPr="0092775D" w:rsidRDefault="00497FB9" w:rsidP="00FB48C7">
            <w:pPr>
              <w:pStyle w:val="TableParagraph"/>
              <w:ind w:left="105"/>
              <w:contextualSpacing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z w:val="18"/>
                <w:szCs w:val="18"/>
                <w:lang w:val="hy-AM"/>
              </w:rPr>
              <w:t>հեծանիվ ...)</w:t>
            </w:r>
          </w:p>
        </w:tc>
        <w:tc>
          <w:tcPr>
            <w:tcW w:w="709" w:type="dxa"/>
            <w:vAlign w:val="center"/>
          </w:tcPr>
          <w:p w14:paraId="40B8F4A2" w14:textId="77777777" w:rsidR="00497FB9" w:rsidRPr="0092775D" w:rsidRDefault="00497FB9" w:rsidP="00FB48C7">
            <w:pPr>
              <w:pStyle w:val="TableParagraph"/>
              <w:ind w:left="19" w:right="1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10"/>
                <w:sz w:val="18"/>
                <w:szCs w:val="18"/>
                <w:lang w:val="hy-AM"/>
              </w:rPr>
              <w:t>X</w:t>
            </w:r>
          </w:p>
        </w:tc>
        <w:tc>
          <w:tcPr>
            <w:tcW w:w="708" w:type="dxa"/>
            <w:vAlign w:val="center"/>
          </w:tcPr>
          <w:p w14:paraId="128DD34E" w14:textId="77777777" w:rsidR="00497FB9" w:rsidRPr="0092775D" w:rsidRDefault="00497FB9" w:rsidP="00FB48C7">
            <w:pPr>
              <w:pStyle w:val="TableParagraph"/>
              <w:ind w:left="18" w:right="5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10"/>
                <w:sz w:val="18"/>
                <w:szCs w:val="18"/>
                <w:lang w:val="hy-AM"/>
              </w:rPr>
              <w:t>X</w:t>
            </w:r>
          </w:p>
        </w:tc>
        <w:tc>
          <w:tcPr>
            <w:tcW w:w="709" w:type="dxa"/>
            <w:vAlign w:val="center"/>
          </w:tcPr>
          <w:p w14:paraId="65F012C1" w14:textId="77777777" w:rsidR="00497FB9" w:rsidRPr="0092775D" w:rsidRDefault="00497FB9" w:rsidP="00FB48C7">
            <w:pPr>
              <w:pStyle w:val="TableParagraph"/>
              <w:ind w:left="18" w:right="1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5"/>
                <w:sz w:val="18"/>
                <w:szCs w:val="18"/>
                <w:lang w:val="hy-AM"/>
              </w:rPr>
              <w:t>523</w:t>
            </w:r>
          </w:p>
        </w:tc>
        <w:tc>
          <w:tcPr>
            <w:tcW w:w="709" w:type="dxa"/>
            <w:vAlign w:val="center"/>
          </w:tcPr>
          <w:p w14:paraId="460C5187" w14:textId="77777777" w:rsidR="00497FB9" w:rsidRPr="0092775D" w:rsidRDefault="00497FB9" w:rsidP="00FB48C7">
            <w:pPr>
              <w:pStyle w:val="TableParagraph"/>
              <w:ind w:left="7" w:right="6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>1,797</w:t>
            </w:r>
          </w:p>
        </w:tc>
        <w:tc>
          <w:tcPr>
            <w:tcW w:w="850" w:type="dxa"/>
            <w:vAlign w:val="center"/>
          </w:tcPr>
          <w:p w14:paraId="61A07298" w14:textId="77777777" w:rsidR="00497FB9" w:rsidRPr="0092775D" w:rsidRDefault="00497FB9" w:rsidP="00FB48C7">
            <w:pPr>
              <w:pStyle w:val="TableParagraph"/>
              <w:ind w:left="16" w:right="11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>4,747</w:t>
            </w:r>
          </w:p>
        </w:tc>
        <w:tc>
          <w:tcPr>
            <w:tcW w:w="851" w:type="dxa"/>
            <w:vAlign w:val="center"/>
          </w:tcPr>
          <w:p w14:paraId="63592727" w14:textId="77777777" w:rsidR="00497FB9" w:rsidRPr="0092775D" w:rsidRDefault="00497FB9" w:rsidP="00FB48C7">
            <w:pPr>
              <w:pStyle w:val="TableParagraph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>2,823</w:t>
            </w:r>
          </w:p>
        </w:tc>
        <w:tc>
          <w:tcPr>
            <w:tcW w:w="850" w:type="dxa"/>
            <w:vAlign w:val="center"/>
          </w:tcPr>
          <w:p w14:paraId="6E3FFF9F" w14:textId="77777777" w:rsidR="00497FB9" w:rsidRPr="0092775D" w:rsidRDefault="00497FB9" w:rsidP="00FB48C7">
            <w:pPr>
              <w:pStyle w:val="TableParagraph"/>
              <w:ind w:left="14" w:right="14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>2,989</w:t>
            </w:r>
          </w:p>
        </w:tc>
        <w:tc>
          <w:tcPr>
            <w:tcW w:w="993" w:type="dxa"/>
            <w:vAlign w:val="center"/>
          </w:tcPr>
          <w:p w14:paraId="283E6BA7" w14:textId="713D4389" w:rsidR="00497FB9" w:rsidRPr="0092775D" w:rsidRDefault="00231295" w:rsidP="00FB48C7">
            <w:pPr>
              <w:pStyle w:val="TableParagraph"/>
              <w:ind w:left="8" w:right="8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="00464093" w:rsidRPr="0092775D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92775D">
              <w:rPr>
                <w:rFonts w:ascii="GHEA Grapalat" w:hAnsi="GHEA Grapalat"/>
                <w:sz w:val="18"/>
                <w:szCs w:val="18"/>
                <w:lang w:val="hy-AM"/>
              </w:rPr>
              <w:t>242</w:t>
            </w:r>
          </w:p>
        </w:tc>
        <w:tc>
          <w:tcPr>
            <w:tcW w:w="850" w:type="dxa"/>
            <w:vAlign w:val="center"/>
          </w:tcPr>
          <w:p w14:paraId="7DB4A6ED" w14:textId="55F8CC1F" w:rsidR="00497FB9" w:rsidRPr="0092775D" w:rsidRDefault="00464093" w:rsidP="00FB48C7">
            <w:pPr>
              <w:pStyle w:val="TableParagraph"/>
              <w:ind w:left="8" w:right="8"/>
              <w:contextualSpacing/>
              <w:jc w:val="center"/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>12,879</w:t>
            </w:r>
          </w:p>
        </w:tc>
      </w:tr>
      <w:tr w:rsidR="00497FB9" w:rsidRPr="0092775D" w14:paraId="669989E2" w14:textId="77777777" w:rsidTr="00FB48C7">
        <w:trPr>
          <w:trHeight w:val="372"/>
        </w:trPr>
        <w:tc>
          <w:tcPr>
            <w:tcW w:w="3119" w:type="dxa"/>
            <w:gridSpan w:val="2"/>
            <w:shd w:val="clear" w:color="auto" w:fill="D9D9D9" w:themeFill="background1" w:themeFillShade="D9"/>
          </w:tcPr>
          <w:p w14:paraId="4A454CFB" w14:textId="52D44ECE" w:rsidR="00497FB9" w:rsidRPr="0092775D" w:rsidRDefault="00497FB9" w:rsidP="00FB48C7">
            <w:pPr>
              <w:pStyle w:val="TableParagraph"/>
              <w:tabs>
                <w:tab w:val="left" w:pos="1200"/>
                <w:tab w:val="left" w:pos="2496"/>
              </w:tabs>
              <w:ind w:left="110"/>
              <w:contextualSpacing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sz w:val="18"/>
                <w:szCs w:val="18"/>
                <w:lang w:val="hy-AM"/>
              </w:rPr>
              <w:t xml:space="preserve">Ընդամենը </w:t>
            </w:r>
          </w:p>
        </w:tc>
        <w:tc>
          <w:tcPr>
            <w:tcW w:w="709" w:type="dxa"/>
            <w:vAlign w:val="center"/>
          </w:tcPr>
          <w:p w14:paraId="5FA72168" w14:textId="6AD59627" w:rsidR="00497FB9" w:rsidRPr="0092775D" w:rsidRDefault="00464093" w:rsidP="00FB48C7">
            <w:pPr>
              <w:pStyle w:val="TableParagraph"/>
              <w:ind w:left="19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b/>
                <w:sz w:val="18"/>
                <w:szCs w:val="18"/>
                <w:lang w:val="hy-AM"/>
              </w:rPr>
              <w:t>29</w:t>
            </w:r>
          </w:p>
        </w:tc>
        <w:tc>
          <w:tcPr>
            <w:tcW w:w="708" w:type="dxa"/>
            <w:vAlign w:val="center"/>
          </w:tcPr>
          <w:p w14:paraId="29B98606" w14:textId="347ABA0A" w:rsidR="00497FB9" w:rsidRPr="0092775D" w:rsidRDefault="00464093" w:rsidP="00FB48C7">
            <w:pPr>
              <w:pStyle w:val="TableParagraph"/>
              <w:ind w:left="18" w:right="5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12</w:t>
            </w:r>
          </w:p>
        </w:tc>
        <w:tc>
          <w:tcPr>
            <w:tcW w:w="709" w:type="dxa"/>
            <w:vAlign w:val="center"/>
          </w:tcPr>
          <w:p w14:paraId="4D575597" w14:textId="01EB8AD7" w:rsidR="00497FB9" w:rsidRPr="0092775D" w:rsidRDefault="00464093" w:rsidP="00FB48C7">
            <w:pPr>
              <w:pStyle w:val="TableParagraph"/>
              <w:ind w:left="18" w:right="10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b/>
                <w:sz w:val="18"/>
                <w:szCs w:val="18"/>
                <w:lang w:val="hy-AM"/>
              </w:rPr>
              <w:t>668</w:t>
            </w:r>
          </w:p>
        </w:tc>
        <w:tc>
          <w:tcPr>
            <w:tcW w:w="709" w:type="dxa"/>
            <w:vAlign w:val="center"/>
          </w:tcPr>
          <w:p w14:paraId="2A7B71A6" w14:textId="2B7B4233" w:rsidR="00497FB9" w:rsidRPr="0092775D" w:rsidRDefault="00464093" w:rsidP="00FB48C7">
            <w:pPr>
              <w:pStyle w:val="TableParagraph"/>
              <w:ind w:left="7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b/>
                <w:sz w:val="18"/>
                <w:szCs w:val="18"/>
                <w:lang w:val="hy-AM"/>
              </w:rPr>
              <w:t>2,112</w:t>
            </w:r>
          </w:p>
        </w:tc>
        <w:tc>
          <w:tcPr>
            <w:tcW w:w="850" w:type="dxa"/>
            <w:vAlign w:val="center"/>
          </w:tcPr>
          <w:p w14:paraId="5CC3C771" w14:textId="32A772AC" w:rsidR="00497FB9" w:rsidRPr="0092775D" w:rsidRDefault="00464093" w:rsidP="00FB48C7">
            <w:pPr>
              <w:pStyle w:val="TableParagraph"/>
              <w:ind w:left="16" w:right="5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b/>
                <w:sz w:val="18"/>
                <w:szCs w:val="18"/>
                <w:lang w:val="hy-AM"/>
              </w:rPr>
              <w:t>6,640</w:t>
            </w:r>
          </w:p>
        </w:tc>
        <w:tc>
          <w:tcPr>
            <w:tcW w:w="851" w:type="dxa"/>
            <w:vAlign w:val="center"/>
          </w:tcPr>
          <w:p w14:paraId="5DC72798" w14:textId="5CE709A6" w:rsidR="00497FB9" w:rsidRPr="0092775D" w:rsidRDefault="00464093" w:rsidP="00FB48C7">
            <w:pPr>
              <w:pStyle w:val="TableParagraph"/>
              <w:ind w:left="6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b/>
                <w:sz w:val="18"/>
                <w:szCs w:val="18"/>
                <w:lang w:val="hy-AM"/>
              </w:rPr>
              <w:t>5,486</w:t>
            </w:r>
          </w:p>
        </w:tc>
        <w:tc>
          <w:tcPr>
            <w:tcW w:w="850" w:type="dxa"/>
            <w:vAlign w:val="center"/>
          </w:tcPr>
          <w:p w14:paraId="3C46E17D" w14:textId="266A04FD" w:rsidR="00497FB9" w:rsidRPr="0092775D" w:rsidRDefault="00464093" w:rsidP="00FB48C7">
            <w:pPr>
              <w:pStyle w:val="TableParagraph"/>
              <w:ind w:left="14" w:right="10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b/>
                <w:sz w:val="18"/>
                <w:szCs w:val="18"/>
                <w:lang w:val="hy-AM"/>
              </w:rPr>
              <w:t>9,635</w:t>
            </w:r>
          </w:p>
        </w:tc>
        <w:tc>
          <w:tcPr>
            <w:tcW w:w="993" w:type="dxa"/>
            <w:vAlign w:val="center"/>
          </w:tcPr>
          <w:p w14:paraId="06454823" w14:textId="7296428E" w:rsidR="00497FB9" w:rsidRPr="0092775D" w:rsidRDefault="00464093" w:rsidP="00FB48C7">
            <w:pPr>
              <w:pStyle w:val="TableParagraph"/>
              <w:ind w:left="8" w:right="5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11,793</w:t>
            </w:r>
          </w:p>
        </w:tc>
        <w:tc>
          <w:tcPr>
            <w:tcW w:w="850" w:type="dxa"/>
            <w:vAlign w:val="center"/>
          </w:tcPr>
          <w:p w14:paraId="2AED2462" w14:textId="5F75438F" w:rsidR="00497FB9" w:rsidRPr="0092775D" w:rsidRDefault="00464093" w:rsidP="00FB48C7">
            <w:pPr>
              <w:pStyle w:val="TableParagraph"/>
              <w:ind w:left="8" w:right="5"/>
              <w:contextualSpacing/>
              <w:jc w:val="center"/>
              <w:rPr>
                <w:rFonts w:ascii="GHEA Grapalat" w:hAnsi="GHEA Grapalat"/>
                <w:b/>
                <w:spacing w:val="-2"/>
                <w:sz w:val="18"/>
                <w:szCs w:val="18"/>
                <w:lang w:val="hy-AM"/>
              </w:rPr>
            </w:pPr>
            <w:r w:rsidRPr="0092775D">
              <w:rPr>
                <w:rFonts w:ascii="GHEA Grapalat" w:hAnsi="GHEA Grapalat"/>
                <w:b/>
                <w:spacing w:val="-2"/>
                <w:sz w:val="18"/>
                <w:szCs w:val="18"/>
                <w:lang w:val="hy-AM"/>
              </w:rPr>
              <w:t>24,606</w:t>
            </w:r>
          </w:p>
        </w:tc>
      </w:tr>
    </w:tbl>
    <w:p w14:paraId="007D2CE3" w14:textId="26910DC2" w:rsidR="00300B4E" w:rsidRPr="0092775D" w:rsidRDefault="00300B4E" w:rsidP="00E37237">
      <w:pPr>
        <w:pStyle w:val="ListParagraph"/>
        <w:tabs>
          <w:tab w:val="left" w:pos="990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p w14:paraId="01378FEE" w14:textId="120C9050" w:rsidR="00DC38C7" w:rsidRPr="0092775D" w:rsidRDefault="00DC38C7" w:rsidP="00C41C06">
      <w:pPr>
        <w:pStyle w:val="ListParagraph"/>
        <w:tabs>
          <w:tab w:val="left" w:pos="990"/>
        </w:tabs>
        <w:spacing w:after="0" w:line="360" w:lineRule="auto"/>
        <w:ind w:left="0" w:firstLine="720"/>
        <w:jc w:val="both"/>
        <w:rPr>
          <w:rFonts w:ascii="Cambria Math" w:hAnsi="Cambria Math"/>
          <w:sz w:val="24"/>
          <w:szCs w:val="24"/>
          <w:lang w:val="hy-AM"/>
        </w:rPr>
      </w:pPr>
      <w:r w:rsidRPr="0092775D">
        <w:rPr>
          <w:rFonts w:ascii="GHEA Grapalat" w:hAnsi="GHEA Grapalat"/>
          <w:sz w:val="24"/>
          <w:szCs w:val="24"/>
          <w:lang w:val="hy-AM"/>
        </w:rPr>
        <w:t xml:space="preserve">2024թ. հունիս ամսվա դրությամբ Ճանապարհային ոստիկանության կողմից տրամադրված տեղեկատվության համաձայն, հաշվառված </w:t>
      </w:r>
      <w:bookmarkStart w:id="1" w:name="_Hlk195001271"/>
      <w:r w:rsidRPr="0092775D">
        <w:rPr>
          <w:rFonts w:ascii="GHEA Grapalat" w:hAnsi="GHEA Grapalat"/>
          <w:sz w:val="24"/>
          <w:szCs w:val="24"/>
          <w:lang w:val="hy-AM"/>
        </w:rPr>
        <w:t>էլեկտրաշարժիչով շարժիչային տրանսպորտային միջոցների</w:t>
      </w:r>
      <w:bookmarkEnd w:id="1"/>
      <w:r w:rsidRPr="0092775D">
        <w:rPr>
          <w:rFonts w:ascii="GHEA Grapalat" w:hAnsi="GHEA Grapalat"/>
          <w:sz w:val="24"/>
          <w:szCs w:val="24"/>
          <w:lang w:val="hy-AM"/>
        </w:rPr>
        <w:t xml:space="preserve"> մա</w:t>
      </w:r>
      <w:r w:rsidR="009F5500" w:rsidRPr="0092775D">
        <w:rPr>
          <w:rFonts w:ascii="GHEA Grapalat" w:hAnsi="GHEA Grapalat"/>
          <w:sz w:val="24"/>
          <w:szCs w:val="24"/>
          <w:lang w:val="hy-AM"/>
        </w:rPr>
        <w:t>սով</w:t>
      </w:r>
      <w:r w:rsidRPr="0092775D">
        <w:rPr>
          <w:rFonts w:ascii="GHEA Grapalat" w:hAnsi="GHEA Grapalat"/>
          <w:sz w:val="24"/>
          <w:szCs w:val="24"/>
          <w:lang w:val="hy-AM"/>
        </w:rPr>
        <w:t xml:space="preserve"> ունենք հետևյալ ցուցանիշները</w:t>
      </w:r>
      <w:r w:rsidR="009F5500" w:rsidRPr="0092775D">
        <w:rPr>
          <w:rFonts w:ascii="Cambria Math" w:hAnsi="Cambria Math"/>
          <w:sz w:val="24"/>
          <w:szCs w:val="24"/>
          <w:lang w:val="hy-AM"/>
        </w:rPr>
        <w:t>․</w:t>
      </w:r>
    </w:p>
    <w:p w14:paraId="37A0794B" w14:textId="774E24EC" w:rsidR="009F5500" w:rsidRPr="0092775D" w:rsidRDefault="009F5500" w:rsidP="009F5500">
      <w:pPr>
        <w:pStyle w:val="ListParagraph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2775D">
        <w:rPr>
          <w:rFonts w:ascii="GHEA Grapalat" w:hAnsi="GHEA Grapalat"/>
          <w:lang w:val="hy-AM"/>
        </w:rPr>
        <w:t>թեթև մարդատար- 10,801</w:t>
      </w:r>
    </w:p>
    <w:p w14:paraId="4A9BF84F" w14:textId="61DDDD2D" w:rsidR="009F5500" w:rsidRPr="0092775D" w:rsidRDefault="009F5500" w:rsidP="009F5500">
      <w:pPr>
        <w:pStyle w:val="ListParagraph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2775D">
        <w:rPr>
          <w:rFonts w:ascii="GHEA Grapalat" w:hAnsi="GHEA Grapalat"/>
          <w:lang w:val="hy-AM"/>
        </w:rPr>
        <w:t>բեռնատար-94</w:t>
      </w:r>
    </w:p>
    <w:p w14:paraId="13EE4626" w14:textId="612ED3D2" w:rsidR="009F5500" w:rsidRPr="0092775D" w:rsidRDefault="009F5500" w:rsidP="009F5500">
      <w:pPr>
        <w:pStyle w:val="ListParagraph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2775D">
        <w:rPr>
          <w:rFonts w:ascii="GHEA Grapalat" w:hAnsi="GHEA Grapalat"/>
          <w:lang w:val="hy-AM"/>
        </w:rPr>
        <w:t xml:space="preserve"> ավտոբուս- 1</w:t>
      </w:r>
    </w:p>
    <w:p w14:paraId="1C09B10F" w14:textId="5F62E4CD" w:rsidR="009F5500" w:rsidRPr="0092775D" w:rsidRDefault="009F5500" w:rsidP="009F5500">
      <w:pPr>
        <w:pStyle w:val="ListParagraph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2775D">
        <w:rPr>
          <w:rFonts w:ascii="GHEA Grapalat" w:hAnsi="GHEA Grapalat"/>
          <w:lang w:val="hy-AM"/>
        </w:rPr>
        <w:t>մոպեդ-13</w:t>
      </w:r>
    </w:p>
    <w:p w14:paraId="3EE1392A" w14:textId="4F7FC744" w:rsidR="009F5500" w:rsidRPr="0092775D" w:rsidRDefault="00AB1A01" w:rsidP="009F5500">
      <w:pPr>
        <w:pStyle w:val="ListParagraph"/>
        <w:tabs>
          <w:tab w:val="left" w:pos="990"/>
        </w:tabs>
        <w:spacing w:after="0" w:line="360" w:lineRule="auto"/>
        <w:ind w:left="0" w:firstLine="720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hAnsi="GHEA Grapalat"/>
          <w:lang w:val="hy-AM"/>
        </w:rPr>
        <w:t>մոտոցիկլետ</w:t>
      </w:r>
      <w:r w:rsidR="009F5500" w:rsidRPr="0092775D">
        <w:rPr>
          <w:rFonts w:ascii="GHEA Grapalat" w:hAnsi="GHEA Grapalat"/>
          <w:lang w:val="hy-AM"/>
        </w:rPr>
        <w:t>-5</w:t>
      </w:r>
    </w:p>
    <w:p w14:paraId="25C9967B" w14:textId="3FD61A43" w:rsidR="002C7A85" w:rsidRDefault="002C7A85" w:rsidP="00C41C06">
      <w:pPr>
        <w:pStyle w:val="ListParagraph"/>
        <w:tabs>
          <w:tab w:val="left" w:pos="990"/>
        </w:tabs>
        <w:spacing w:after="0" w:line="360" w:lineRule="auto"/>
        <w:ind w:left="90" w:firstLine="63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92775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2024թ. հունիս ամսվա դրությամբ </w:t>
      </w:r>
      <w:r w:rsidR="00C41C06" w:rsidRPr="0092775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հաշվառված</w:t>
      </w:r>
      <w:r w:rsidRPr="0092775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C41C06" w:rsidRPr="0092775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էլեկտրաշարժիչով շարժիչային տրանսպորտային միջոցների </w:t>
      </w:r>
      <w:r w:rsidR="00C41C06" w:rsidRPr="0092775D">
        <w:rPr>
          <w:rFonts w:ascii="GHEA Grapalat" w:hAnsi="GHEA Grapalat"/>
          <w:b/>
          <w:sz w:val="24"/>
          <w:szCs w:val="24"/>
          <w:lang w:val="hy-AM"/>
        </w:rPr>
        <w:t>55</w:t>
      </w:r>
      <w:r w:rsidR="00C41C06" w:rsidRPr="0092775D"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  <w:t xml:space="preserve"> %-ը</w:t>
      </w:r>
      <w:r w:rsidR="00C41C06" w:rsidRPr="0092775D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կազմում են մինչև 3 տարեկան </w:t>
      </w:r>
      <w:r w:rsidR="00C41C06" w:rsidRPr="0092775D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lastRenderedPageBreak/>
        <w:t xml:space="preserve">տրանսպորտային միջոցները, 4-10 տարեկան - </w:t>
      </w:r>
      <w:r w:rsidR="00C41C06" w:rsidRPr="0092775D"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  <w:t>32%</w:t>
      </w:r>
      <w:r w:rsidR="00C41C06" w:rsidRPr="0092775D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, իսկ 10 տարեկանից մեծ </w:t>
      </w:r>
      <w:r w:rsidR="00C41C06" w:rsidRPr="0092775D">
        <w:rPr>
          <w:rFonts w:ascii="GHEA Grapalat" w:hAnsi="GHEA Grapalat"/>
          <w:sz w:val="24"/>
          <w:szCs w:val="24"/>
          <w:lang w:val="hy-AM"/>
        </w:rPr>
        <w:t>տրանսպորտային միջոց</w:t>
      </w:r>
      <w:r w:rsidR="00C41C06" w:rsidRPr="0092775D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ները` </w:t>
      </w:r>
      <w:r w:rsidR="00C41C06" w:rsidRPr="0092775D"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  <w:t>13%-</w:t>
      </w:r>
      <w:r w:rsidR="00C41C06" w:rsidRPr="0092775D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ը:</w:t>
      </w:r>
    </w:p>
    <w:p w14:paraId="7BFB76C0" w14:textId="740C5FBB" w:rsidR="00626871" w:rsidRPr="00300B4E" w:rsidRDefault="00C41C06" w:rsidP="00C41C06">
      <w:pPr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Հարկ է նշել, որ </w:t>
      </w:r>
      <w:r w:rsidR="00584019" w:rsidRPr="00300B4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20</w:t>
      </w:r>
      <w:r w:rsidR="003A5F75" w:rsidRPr="00300B4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21</w:t>
      </w:r>
      <w:r w:rsidR="00584019" w:rsidRPr="00300B4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-202</w:t>
      </w:r>
      <w:r w:rsidR="00706810" w:rsidRPr="00300B4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4</w:t>
      </w:r>
      <w:r w:rsidR="00E40637" w:rsidRPr="00300B4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584019" w:rsidRPr="00300B4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թ</w:t>
      </w:r>
      <w:r w:rsidR="003A5F75" w:rsidRPr="00300B4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վականների</w:t>
      </w:r>
      <w:r w:rsidR="00584019" w:rsidRPr="00300B4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3A5F75" w:rsidRPr="00300B4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ը</w:t>
      </w:r>
      <w:r w:rsidR="00A677AA" w:rsidRPr="00300B4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նթացքում </w:t>
      </w:r>
      <w:r w:rsidR="00706810" w:rsidRPr="00300B4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/2024թ</w:t>
      </w:r>
      <w:r w:rsidR="00706810" w:rsidRPr="00300B4E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/>
          <w14:ligatures w14:val="none"/>
        </w:rPr>
        <w:t>․</w:t>
      </w:r>
      <w:r w:rsidR="00706810" w:rsidRPr="00300B4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706810" w:rsidRPr="00300B4E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/>
          <w14:ligatures w14:val="none"/>
        </w:rPr>
        <w:t>ապրիլի</w:t>
      </w:r>
      <w:r w:rsidR="00706810" w:rsidRPr="00300B4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1-</w:t>
      </w:r>
      <w:r w:rsidR="00706810" w:rsidRPr="00300B4E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/>
          <w14:ligatures w14:val="none"/>
        </w:rPr>
        <w:t>ի</w:t>
      </w:r>
      <w:r w:rsidR="00706810" w:rsidRPr="00300B4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706810" w:rsidRPr="00300B4E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/>
          <w14:ligatures w14:val="none"/>
        </w:rPr>
        <w:t>դրությամբ</w:t>
      </w:r>
      <w:r w:rsidR="00706810" w:rsidRPr="00300B4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/ </w:t>
      </w:r>
      <w:r w:rsidR="00A677AA" w:rsidRPr="00300B4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տեղադրվ</w:t>
      </w:r>
      <w:r w:rsidR="00E40637" w:rsidRPr="00300B4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ել</w:t>
      </w:r>
      <w:r w:rsidR="00A677AA" w:rsidRPr="00300B4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և</w:t>
      </w:r>
      <w:r w:rsidR="00E40637" w:rsidRPr="00300B4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ներկայումս հանրապետության տարածքում </w:t>
      </w:r>
      <w:r w:rsidR="00A677AA" w:rsidRPr="00300B4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կիրառվում են </w:t>
      </w:r>
      <w:r w:rsidR="00706810" w:rsidRPr="00300B4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317 </w:t>
      </w:r>
      <w:r w:rsidR="00A677AA" w:rsidRPr="00300B4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լիցքավորման կայաններ, որ</w:t>
      </w:r>
      <w:r w:rsidR="003A5F75" w:rsidRPr="00300B4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ոն</w:t>
      </w:r>
      <w:r w:rsidR="0032646B" w:rsidRPr="00300B4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ց</w:t>
      </w:r>
      <w:r w:rsidR="00706810" w:rsidRPr="00300B4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ից 177-ը Երևանում։</w:t>
      </w:r>
      <w:r w:rsidR="0032646B" w:rsidRPr="00300B4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706810" w:rsidRPr="00300B4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</w:t>
      </w:r>
      <w:r w:rsidR="0032646B" w:rsidRPr="00300B4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շե</w:t>
      </w:r>
      <w:r w:rsidR="00706810" w:rsidRPr="00300B4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նք</w:t>
      </w:r>
      <w:r w:rsidR="0032646B" w:rsidRPr="00300B4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, որ ՀՀ տարածքում գործող</w:t>
      </w:r>
      <w:r w:rsidR="00584019" w:rsidRPr="00300B4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լիցքավորման կայանների </w:t>
      </w:r>
      <w:r w:rsidR="0032646B" w:rsidRPr="00300B4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տեղակայման վերաբերյալ տեղեկատվությանը կարող եք ծանոթանալ plugshare.com  կայքում հասանելի </w:t>
      </w:r>
      <w:r w:rsidR="00584019" w:rsidRPr="00300B4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քարտեզ</w:t>
      </w:r>
      <w:r w:rsidR="0032646B" w:rsidRPr="00300B4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ի միջոցով։ </w:t>
      </w:r>
    </w:p>
    <w:p w14:paraId="2C7EA075" w14:textId="02FAE592" w:rsidR="006D7243" w:rsidRPr="00550963" w:rsidRDefault="001F4DA2" w:rsidP="00300B4E">
      <w:pPr>
        <w:tabs>
          <w:tab w:val="left" w:pos="720"/>
        </w:tabs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ab/>
      </w:r>
      <w:r w:rsidR="006D7243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Էլեկտրական շարժիչով աշխատող տրանսպորտային միջոցների ձեռքբերումն ու շահագործման խթանումը համահունչ է կանաչ տնտեսության նպատակների հետ։ Նկատվում է քաղաքներում ածխաթթու գազի </w:t>
      </w:r>
      <w:r w:rsidR="008F2B8B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արտանետումների </w:t>
      </w:r>
      <w:r w:rsidR="006D7243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զգալի կրճատում և քաղաքային աղտոտվածության մակարդակի նվազում։</w:t>
      </w:r>
    </w:p>
    <w:p w14:paraId="7A3CD96A" w14:textId="50BF27F7" w:rsidR="00EC5DFB" w:rsidRDefault="006D7243" w:rsidP="00AC42DA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zh-CN" w:bidi="hi-IN"/>
          <w14:ligatures w14:val="none"/>
        </w:rPr>
      </w:pP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Վերոնշյալ դրական արդյունքներ</w:t>
      </w:r>
      <w:r w:rsidR="003B4E5B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ամրապնդելու </w:t>
      </w:r>
      <w:r w:rsidR="001F4DA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էլեկտրական տրանսպորտային միջոցների օգտագործման հետագա զարգացում</w:t>
      </w:r>
      <w:r w:rsidR="001F4DA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ապահովելու նպատակով </w:t>
      </w:r>
      <w:r w:rsidR="00EC5DF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zh-CN" w:bidi="hi-IN"/>
          <w14:ligatures w14:val="none"/>
        </w:rPr>
        <w:t>նպատակահարմար է փոփոխություն իրականացնել ԱԱՀ մասով արտոնություն սահմանող ազգային օրենսդրական իրավական ակտում, համաձայն որի՝ 2</w:t>
      </w:r>
      <w:r w:rsidR="00EC5DFB" w:rsidRPr="00EC5DF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zh-CN" w:bidi="hi-IN"/>
          <w14:ligatures w14:val="none"/>
        </w:rPr>
        <w:t>026 թվականի հունվարի 1-ից մինչև 2028 թվականի հունվարի 1-ը</w:t>
      </w:r>
      <w:r w:rsidR="00EC5DF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zh-CN" w:bidi="hi-IN"/>
          <w14:ligatures w14:val="none"/>
        </w:rPr>
        <w:t xml:space="preserve"> </w:t>
      </w:r>
      <w:r w:rsidR="00EC5DFB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ավելացված արժեքի հարկից </w:t>
      </w:r>
      <w:r w:rsidR="00EC5DF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կազատվեն </w:t>
      </w:r>
      <w:r w:rsidR="00EC5DFB" w:rsidRPr="00EC5DF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zh-CN" w:bidi="hi-IN"/>
          <w14:ligatures w14:val="none"/>
        </w:rPr>
        <w:t xml:space="preserve"> </w:t>
      </w:r>
      <w:r w:rsidR="0092775D" w:rsidRPr="0092775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zh-CN" w:bidi="hi-IN"/>
          <w14:ligatures w14:val="none"/>
        </w:rPr>
        <w:t xml:space="preserve">ԵԱՏՄ ԱՏԳ ԱԱ 8702 40 000, 8703 80 000 և 8711 60 ծածկագրերին </w:t>
      </w:r>
      <w:r w:rsidR="00EC5DFB" w:rsidRPr="00EC5DF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zh-CN" w:bidi="hi-IN"/>
          <w14:ligatures w14:val="none"/>
        </w:rPr>
        <w:t>դասվող՝ այն էլեկտրաշարժիչով շարժիչային տրանսպորտային միջոցների ներմուծումը կամ օտարումը, որոնց թողարկման պահից անցել է 2 տարուց ոչ ավելի</w:t>
      </w:r>
      <w:r w:rsidR="00EC5DF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zh-CN" w:bidi="hi-IN"/>
          <w14:ligatures w14:val="none"/>
        </w:rPr>
        <w:t>։</w:t>
      </w:r>
    </w:p>
    <w:bookmarkEnd w:id="0"/>
    <w:p w14:paraId="03F2F5CA" w14:textId="4B476DC0" w:rsidR="0010679E" w:rsidRPr="007E6E53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2. Առաջարկվող կարգավորման բնույթը</w:t>
      </w:r>
    </w:p>
    <w:p w14:paraId="0B801F84" w14:textId="2DC8974B" w:rsidR="00584019" w:rsidRPr="00550963" w:rsidRDefault="003B4E5B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ախագծով առաջարկվում է Հայաuտանի Հանրապետության հարկային օրենսգրքի (ՀO-165) 64-րդ հոդվածով սահմանված ավելացված արժեքի հարկի արտոնությունը երկարաձգել </w:t>
      </w:r>
      <w:r w:rsidR="00B241B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ս եր</w:t>
      </w:r>
      <w:r w:rsidR="007B0C26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կու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տարով՝ մինչ</w:t>
      </w:r>
      <w:r w:rsidR="00B241B2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202</w:t>
      </w:r>
      <w:r w:rsidR="00EC5DF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8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թվականի հունվարի 1-ը</w:t>
      </w:r>
      <w:r w:rsidR="00EC5DF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՝ սահմանելով արտոնություն </w:t>
      </w:r>
      <w:r w:rsidR="0092775D" w:rsidRPr="0092775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ԵԱՏՄ ԱՏԳ ԱԱ 8702 40 000, 8703 80 000 և 8711 60 ծածկագրերին</w:t>
      </w:r>
      <w:r w:rsidR="0092775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5F2DC2" w:rsidRPr="005F2DC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դասվող՝ այն էլեկտրաշարժիչով շարժիչային տրանսպորտային միջոցների </w:t>
      </w:r>
      <w:r w:rsidR="00AB1A0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ներմուծման</w:t>
      </w:r>
      <w:r w:rsidR="005F2DC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5F2DC2" w:rsidRPr="005F2DC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կամ օտար</w:t>
      </w:r>
      <w:r w:rsidR="005F2DC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ման հանդեպ</w:t>
      </w:r>
      <w:r w:rsidR="005F2DC2" w:rsidRPr="005F2DC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, որոնց թողարկման պահից անցել է 2 տարուց ոչ ավելի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:</w:t>
      </w:r>
    </w:p>
    <w:p w14:paraId="4D45BB22" w14:textId="640E2A5E" w:rsidR="00584019" w:rsidRPr="007E6E53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lastRenderedPageBreak/>
        <w:t>3. Նախագծի մշակման գործընթացում ներգրավված ինստիտուտները</w:t>
      </w:r>
    </w:p>
    <w:p w14:paraId="0728D954" w14:textId="3DA90449" w:rsidR="00584019" w:rsidRPr="00550963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Նախագիծը մշակվել է </w:t>
      </w:r>
      <w:r w:rsidR="008F1E9A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Էկոնոմիկայի նախարարության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կողմից:</w:t>
      </w:r>
    </w:p>
    <w:p w14:paraId="4526140D" w14:textId="6E2170F2" w:rsidR="00584019" w:rsidRPr="007E6E53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4. Ակնկալվող արդյունքը</w:t>
      </w:r>
    </w:p>
    <w:p w14:paraId="17A39765" w14:textId="77777777" w:rsidR="002C7A85" w:rsidRDefault="003C09BF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Նախագծի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ընդունմամբ նպաստավոր պայմաններ կ</w:t>
      </w:r>
      <w:r w:rsidR="001E3DAE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ս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տեղծվեն երկրում էլեկտրական շարժիչով տրանսպորտային միջոցների ձեռքբերումն ու </w:t>
      </w:r>
      <w:r w:rsidR="006D7243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շահագործումը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խթանելու, արդեն իսկ արձանագրված դրական արդյունքների շարունակականության ապահովման, մթնոլորտային օդի աղտոտվածության նվազեցման համար: Հարկ է </w:t>
      </w:r>
      <w:r w:rsidR="008F2B8B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նաև 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նշել, որ էլեկտրական շարժիչով տրանսպորտային միջոցների քանակի ավելացումն ուղղակիորեն կխթանի հանրապետությունում գիշերային ժամերին էլեկտրաէներգիայի սպառումը, քանի որ </w:t>
      </w:r>
      <w:r w:rsidR="006D7243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վերջիններիս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լիցքավորումը մեծամասամբ իրականացվում է գիշերային ժամերին:</w:t>
      </w:r>
    </w:p>
    <w:p w14:paraId="60DC1AD3" w14:textId="5CAF17C8" w:rsidR="00584019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Միաժամանակ էլեկտրական շարժիչով տրանսպորտային միջոցների քանակի աճը կնպաստի նա</w:t>
      </w:r>
      <w:r w:rsidR="008360E5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դրանց շահագործման համար անհրաժեշտ ենթակառուցվածքների (լիցքավորման կայաններ, վերանորոգման կետեր </w:t>
      </w:r>
      <w:r w:rsidR="008360E5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այլն) </w:t>
      </w:r>
      <w:r w:rsidR="002C7A85" w:rsidRPr="002C7A8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գյուղատնտեսությ</w:t>
      </w:r>
      <w:r w:rsidR="002C7A8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ան</w:t>
      </w:r>
      <w:r w:rsidR="002C7A85" w:rsidRPr="002C7A8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ու էկոզբոսաշրջությ</w:t>
      </w:r>
      <w:r w:rsidR="002C7A8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ան</w:t>
      </w:r>
      <w:r w:rsidR="002C7A85" w:rsidRPr="002C7A8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զարգացմանը՝ լրացուցիչ ներդրումների</w:t>
      </w:r>
      <w:r w:rsidR="008360E5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8F2B8B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(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միջազգային </w:t>
      </w:r>
      <w:r w:rsidR="008360E5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մասնավոր հատվածի կողմից</w:t>
      </w:r>
      <w:r w:rsidR="008F2B8B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)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8360E5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նոր աշխատատեղերի ստեղծման միջոցով:</w:t>
      </w:r>
    </w:p>
    <w:p w14:paraId="45076A26" w14:textId="48800973" w:rsidR="007E6E53" w:rsidRPr="007E6E53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5. Կապը ռազմավարական փաստաթղթերի հետ </w:t>
      </w:r>
    </w:p>
    <w:p w14:paraId="09F688F6" w14:textId="357E3015" w:rsidR="00584019" w:rsidRPr="00550963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Հայաստանի</w:t>
      </w:r>
      <w:r w:rsidR="008F2B8B"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Հանրապետության</w:t>
      </w:r>
      <w:r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 xml:space="preserve"> վերափոխման ռազմավարություն 2050, Կառավարության 2021-2026թթ. ծրագիր, ոլորտային </w:t>
      </w:r>
      <w:r w:rsidR="00933BE8"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և</w:t>
      </w:r>
      <w:r w:rsidRPr="0055096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  <w:t>/կամ այլ ռազմավարություններ</w:t>
      </w:r>
    </w:p>
    <w:p w14:paraId="51F0FA57" w14:textId="5D06A753" w:rsidR="00584019" w:rsidRDefault="00933BE8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ՀՀ կ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առավարության 2021 թվականի օգոստոսի 18-ի N1363-Ն որոշմամբ հաստատված կառավարության ծրագրի 4.10-րդ կետով, որպես շրջակա միջավայրի կառավարման առաջնահերթ ուղղություններ ամրագրված են մթնոլորտային օդի պահպանության քաղաքականության մշակումը` ուղղված արտանետումների նվազեցմանն ու սահմանափակմանը, ինչպես նա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կանաչ տնտեսության 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կայուն զարգացման երկարաժամկետ նպատակի խթանմանն ուղղված քաղաքականության մշակումն ու իրականացումը:</w:t>
      </w:r>
    </w:p>
    <w:p w14:paraId="634DF6DD" w14:textId="4E68285F" w:rsidR="00400353" w:rsidRPr="00017131" w:rsidRDefault="00400353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92775D">
        <w:rPr>
          <w:rFonts w:ascii="GHEA Grapalat" w:hAnsi="GHEA Grapalat"/>
          <w:sz w:val="24"/>
          <w:szCs w:val="24"/>
          <w:lang w:val="hy-AM"/>
        </w:rPr>
        <w:lastRenderedPageBreak/>
        <w:t>ՀՀ</w:t>
      </w:r>
      <w:r w:rsidRPr="0092775D">
        <w:rPr>
          <w:rFonts w:ascii="GHEA Grapalat" w:hAnsi="GHEA Grapalat"/>
          <w:sz w:val="24"/>
          <w:szCs w:val="24"/>
          <w:lang w:val="vi"/>
        </w:rPr>
        <w:t xml:space="preserve"> </w:t>
      </w:r>
      <w:r w:rsidRPr="0092775D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92775D">
        <w:rPr>
          <w:rFonts w:ascii="GHEA Grapalat" w:hAnsi="GHEA Grapalat"/>
          <w:sz w:val="24"/>
          <w:szCs w:val="24"/>
          <w:lang w:val="vi"/>
        </w:rPr>
        <w:t xml:space="preserve"> 2021 </w:t>
      </w:r>
      <w:r w:rsidRPr="0092775D">
        <w:rPr>
          <w:rFonts w:ascii="GHEA Grapalat" w:hAnsi="GHEA Grapalat"/>
          <w:sz w:val="24"/>
          <w:szCs w:val="24"/>
          <w:lang w:val="hy-AM"/>
        </w:rPr>
        <w:t>թվականի</w:t>
      </w:r>
      <w:r w:rsidRPr="0092775D">
        <w:rPr>
          <w:rFonts w:ascii="GHEA Grapalat" w:hAnsi="GHEA Grapalat"/>
          <w:sz w:val="24"/>
          <w:szCs w:val="24"/>
          <w:lang w:val="vi"/>
        </w:rPr>
        <w:t xml:space="preserve"> </w:t>
      </w:r>
      <w:r w:rsidRPr="0092775D">
        <w:rPr>
          <w:rFonts w:ascii="GHEA Grapalat" w:hAnsi="GHEA Grapalat"/>
          <w:sz w:val="24"/>
          <w:szCs w:val="24"/>
          <w:lang w:val="hy-AM"/>
        </w:rPr>
        <w:t>նոյեմբերի</w:t>
      </w:r>
      <w:r w:rsidRPr="0092775D">
        <w:rPr>
          <w:rFonts w:ascii="GHEA Grapalat" w:hAnsi="GHEA Grapalat"/>
          <w:sz w:val="24"/>
          <w:szCs w:val="24"/>
          <w:lang w:val="vi"/>
        </w:rPr>
        <w:t xml:space="preserve"> 18-</w:t>
      </w:r>
      <w:r w:rsidRPr="0092775D">
        <w:rPr>
          <w:rFonts w:ascii="GHEA Grapalat" w:hAnsi="GHEA Grapalat"/>
          <w:sz w:val="24"/>
          <w:szCs w:val="24"/>
          <w:lang w:val="hy-AM"/>
        </w:rPr>
        <w:t>ի</w:t>
      </w:r>
      <w:r w:rsidRPr="0092775D">
        <w:rPr>
          <w:rFonts w:ascii="GHEA Grapalat" w:hAnsi="GHEA Grapalat"/>
          <w:sz w:val="24"/>
          <w:szCs w:val="24"/>
          <w:lang w:val="vi"/>
        </w:rPr>
        <w:t xml:space="preserve"> «</w:t>
      </w:r>
      <w:r w:rsidRPr="0092775D">
        <w:rPr>
          <w:rFonts w:ascii="GHEA Grapalat" w:hAnsi="GHEA Grapalat"/>
          <w:sz w:val="24"/>
          <w:szCs w:val="24"/>
          <w:lang w:val="hy-AM"/>
        </w:rPr>
        <w:t>Հայաստանի</w:t>
      </w:r>
      <w:r w:rsidRPr="0092775D">
        <w:rPr>
          <w:rFonts w:ascii="GHEA Grapalat" w:hAnsi="GHEA Grapalat"/>
          <w:sz w:val="24"/>
          <w:szCs w:val="24"/>
          <w:lang w:val="vi"/>
        </w:rPr>
        <w:t xml:space="preserve"> </w:t>
      </w:r>
      <w:r w:rsidRPr="0092775D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92775D">
        <w:rPr>
          <w:rFonts w:ascii="GHEA Grapalat" w:hAnsi="GHEA Grapalat"/>
          <w:sz w:val="24"/>
          <w:szCs w:val="24"/>
          <w:lang w:val="vi"/>
        </w:rPr>
        <w:t xml:space="preserve"> </w:t>
      </w:r>
      <w:r w:rsidRPr="0092775D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92775D">
        <w:rPr>
          <w:rFonts w:ascii="GHEA Grapalat" w:hAnsi="GHEA Grapalat"/>
          <w:sz w:val="24"/>
          <w:szCs w:val="24"/>
          <w:lang w:val="vi"/>
        </w:rPr>
        <w:t xml:space="preserve"> 2021-2026 </w:t>
      </w:r>
      <w:r w:rsidRPr="0092775D">
        <w:rPr>
          <w:rFonts w:ascii="GHEA Grapalat" w:hAnsi="GHEA Grapalat"/>
          <w:sz w:val="24"/>
          <w:szCs w:val="24"/>
          <w:lang w:val="hy-AM"/>
        </w:rPr>
        <w:t>թվականների</w:t>
      </w:r>
      <w:r w:rsidRPr="0092775D">
        <w:rPr>
          <w:rFonts w:ascii="GHEA Grapalat" w:hAnsi="GHEA Grapalat"/>
          <w:sz w:val="24"/>
          <w:szCs w:val="24"/>
          <w:lang w:val="vi"/>
        </w:rPr>
        <w:t xml:space="preserve"> </w:t>
      </w:r>
      <w:r w:rsidRPr="0092775D">
        <w:rPr>
          <w:rFonts w:ascii="GHEA Grapalat" w:hAnsi="GHEA Grapalat"/>
          <w:sz w:val="24"/>
          <w:szCs w:val="24"/>
          <w:lang w:val="hy-AM"/>
        </w:rPr>
        <w:t>գործունեության</w:t>
      </w:r>
      <w:r w:rsidRPr="0092775D">
        <w:rPr>
          <w:rFonts w:ascii="GHEA Grapalat" w:hAnsi="GHEA Grapalat"/>
          <w:sz w:val="24"/>
          <w:szCs w:val="24"/>
          <w:lang w:val="vi"/>
        </w:rPr>
        <w:t xml:space="preserve"> </w:t>
      </w:r>
      <w:r w:rsidRPr="0092775D">
        <w:rPr>
          <w:rFonts w:ascii="GHEA Grapalat" w:hAnsi="GHEA Grapalat"/>
          <w:sz w:val="24"/>
          <w:szCs w:val="24"/>
          <w:lang w:val="hy-AM"/>
        </w:rPr>
        <w:t>միջոցառումների</w:t>
      </w:r>
      <w:r w:rsidRPr="0092775D">
        <w:rPr>
          <w:rFonts w:ascii="GHEA Grapalat" w:hAnsi="GHEA Grapalat"/>
          <w:sz w:val="24"/>
          <w:szCs w:val="24"/>
          <w:lang w:val="vi"/>
        </w:rPr>
        <w:t xml:space="preserve"> </w:t>
      </w:r>
      <w:r w:rsidRPr="0092775D">
        <w:rPr>
          <w:rFonts w:ascii="GHEA Grapalat" w:hAnsi="GHEA Grapalat"/>
          <w:sz w:val="24"/>
          <w:szCs w:val="24"/>
          <w:lang w:val="hy-AM"/>
        </w:rPr>
        <w:t>ծրագիրը</w:t>
      </w:r>
      <w:r w:rsidRPr="0092775D">
        <w:rPr>
          <w:rFonts w:ascii="GHEA Grapalat" w:hAnsi="GHEA Grapalat"/>
          <w:sz w:val="24"/>
          <w:szCs w:val="24"/>
          <w:lang w:val="vi"/>
        </w:rPr>
        <w:t xml:space="preserve"> </w:t>
      </w:r>
      <w:r w:rsidRPr="0092775D">
        <w:rPr>
          <w:rFonts w:ascii="GHEA Grapalat" w:hAnsi="GHEA Grapalat"/>
          <w:sz w:val="24"/>
          <w:szCs w:val="24"/>
          <w:lang w:val="hy-AM"/>
        </w:rPr>
        <w:t>հաստատելու</w:t>
      </w:r>
      <w:r w:rsidRPr="0092775D">
        <w:rPr>
          <w:rFonts w:ascii="GHEA Grapalat" w:hAnsi="GHEA Grapalat"/>
          <w:sz w:val="24"/>
          <w:szCs w:val="24"/>
          <w:lang w:val="vi"/>
        </w:rPr>
        <w:t xml:space="preserve"> </w:t>
      </w:r>
      <w:r w:rsidRPr="0092775D">
        <w:rPr>
          <w:rFonts w:ascii="GHEA Grapalat" w:hAnsi="GHEA Grapalat"/>
          <w:sz w:val="24"/>
          <w:szCs w:val="24"/>
          <w:lang w:val="hy-AM"/>
        </w:rPr>
        <w:t>մասին</w:t>
      </w:r>
      <w:r w:rsidRPr="0092775D">
        <w:rPr>
          <w:rFonts w:ascii="GHEA Grapalat" w:hAnsi="GHEA Grapalat"/>
          <w:sz w:val="24"/>
          <w:szCs w:val="24"/>
          <w:lang w:val="vi"/>
        </w:rPr>
        <w:t>» N 1902-</w:t>
      </w:r>
      <w:r w:rsidRPr="0092775D">
        <w:rPr>
          <w:rFonts w:ascii="GHEA Grapalat" w:hAnsi="GHEA Grapalat"/>
          <w:sz w:val="24"/>
          <w:szCs w:val="24"/>
          <w:lang w:val="hy-AM"/>
        </w:rPr>
        <w:t>Լ</w:t>
      </w:r>
      <w:r w:rsidRPr="0092775D">
        <w:rPr>
          <w:rFonts w:ascii="GHEA Grapalat" w:hAnsi="GHEA Grapalat"/>
          <w:sz w:val="24"/>
          <w:szCs w:val="24"/>
          <w:lang w:val="vi"/>
        </w:rPr>
        <w:t xml:space="preserve"> </w:t>
      </w:r>
      <w:r w:rsidRPr="0092775D">
        <w:rPr>
          <w:rFonts w:ascii="GHEA Grapalat" w:hAnsi="GHEA Grapalat"/>
          <w:sz w:val="24"/>
          <w:szCs w:val="24"/>
          <w:lang w:val="hy-AM"/>
        </w:rPr>
        <w:t>որոշման</w:t>
      </w:r>
      <w:r w:rsidRPr="0092775D">
        <w:rPr>
          <w:rFonts w:ascii="GHEA Grapalat" w:hAnsi="GHEA Grapalat"/>
          <w:sz w:val="24"/>
          <w:szCs w:val="24"/>
          <w:lang w:val="vi"/>
        </w:rPr>
        <w:t xml:space="preserve"> 1-</w:t>
      </w:r>
      <w:r w:rsidRPr="0092775D">
        <w:rPr>
          <w:rFonts w:ascii="GHEA Grapalat" w:hAnsi="GHEA Grapalat"/>
          <w:sz w:val="24"/>
          <w:szCs w:val="24"/>
          <w:lang w:val="hy-AM"/>
        </w:rPr>
        <w:t>ին</w:t>
      </w:r>
      <w:r w:rsidRPr="0092775D">
        <w:rPr>
          <w:rFonts w:ascii="GHEA Grapalat" w:hAnsi="GHEA Grapalat"/>
          <w:sz w:val="24"/>
          <w:szCs w:val="24"/>
          <w:lang w:val="vi"/>
        </w:rPr>
        <w:t xml:space="preserve"> </w:t>
      </w:r>
      <w:r w:rsidRPr="0092775D">
        <w:rPr>
          <w:rFonts w:ascii="GHEA Grapalat" w:hAnsi="GHEA Grapalat"/>
          <w:sz w:val="24"/>
          <w:szCs w:val="24"/>
          <w:lang w:val="hy-AM"/>
        </w:rPr>
        <w:t>հավելվածով</w:t>
      </w:r>
      <w:r w:rsidRPr="0092775D">
        <w:rPr>
          <w:rFonts w:ascii="GHEA Grapalat" w:hAnsi="GHEA Grapalat"/>
          <w:sz w:val="24"/>
          <w:szCs w:val="24"/>
          <w:lang w:val="vi"/>
        </w:rPr>
        <w:t xml:space="preserve"> </w:t>
      </w:r>
      <w:r w:rsidRPr="0092775D">
        <w:rPr>
          <w:rFonts w:ascii="GHEA Grapalat" w:hAnsi="GHEA Grapalat"/>
          <w:sz w:val="24"/>
          <w:szCs w:val="24"/>
          <w:lang w:val="hy-AM"/>
        </w:rPr>
        <w:t>հաստատված</w:t>
      </w:r>
      <w:r w:rsidRPr="0092775D">
        <w:rPr>
          <w:rFonts w:ascii="GHEA Grapalat" w:hAnsi="GHEA Grapalat"/>
          <w:sz w:val="24"/>
          <w:szCs w:val="24"/>
          <w:lang w:val="vi"/>
        </w:rPr>
        <w:t xml:space="preserve"> «8.3 </w:t>
      </w:r>
      <w:r w:rsidRPr="0092775D">
        <w:rPr>
          <w:rFonts w:ascii="GHEA Grapalat" w:hAnsi="GHEA Grapalat"/>
          <w:sz w:val="24"/>
          <w:szCs w:val="24"/>
          <w:lang w:val="hy-AM"/>
        </w:rPr>
        <w:t>Էլեկտրամոբիլների</w:t>
      </w:r>
      <w:r w:rsidRPr="0092775D">
        <w:rPr>
          <w:rFonts w:ascii="GHEA Grapalat" w:hAnsi="GHEA Grapalat"/>
          <w:sz w:val="24"/>
          <w:szCs w:val="24"/>
          <w:lang w:val="vi"/>
        </w:rPr>
        <w:t xml:space="preserve"> </w:t>
      </w:r>
      <w:r w:rsidRPr="0092775D">
        <w:rPr>
          <w:rFonts w:ascii="GHEA Grapalat" w:hAnsi="GHEA Grapalat"/>
          <w:sz w:val="24"/>
          <w:szCs w:val="24"/>
          <w:lang w:val="hy-AM"/>
        </w:rPr>
        <w:t>և</w:t>
      </w:r>
      <w:r w:rsidRPr="0092775D">
        <w:rPr>
          <w:rFonts w:ascii="GHEA Grapalat" w:hAnsi="GHEA Grapalat"/>
          <w:sz w:val="24"/>
          <w:szCs w:val="24"/>
          <w:lang w:val="vi"/>
        </w:rPr>
        <w:t xml:space="preserve"> </w:t>
      </w:r>
      <w:r w:rsidRPr="0092775D">
        <w:rPr>
          <w:rFonts w:ascii="GHEA Grapalat" w:hAnsi="GHEA Grapalat"/>
          <w:sz w:val="24"/>
          <w:szCs w:val="24"/>
          <w:lang w:val="hy-AM"/>
        </w:rPr>
        <w:t>էլեկտրական</w:t>
      </w:r>
      <w:r w:rsidRPr="0092775D">
        <w:rPr>
          <w:rFonts w:ascii="GHEA Grapalat" w:hAnsi="GHEA Grapalat"/>
          <w:sz w:val="24"/>
          <w:szCs w:val="24"/>
          <w:lang w:val="vi"/>
        </w:rPr>
        <w:t xml:space="preserve"> </w:t>
      </w:r>
      <w:r w:rsidRPr="0092775D">
        <w:rPr>
          <w:rFonts w:ascii="GHEA Grapalat" w:hAnsi="GHEA Grapalat"/>
          <w:sz w:val="24"/>
          <w:szCs w:val="24"/>
          <w:lang w:val="hy-AM"/>
        </w:rPr>
        <w:t>շարժիչներով</w:t>
      </w:r>
      <w:r w:rsidRPr="0092775D">
        <w:rPr>
          <w:rFonts w:ascii="GHEA Grapalat" w:hAnsi="GHEA Grapalat"/>
          <w:sz w:val="24"/>
          <w:szCs w:val="24"/>
          <w:lang w:val="vi"/>
        </w:rPr>
        <w:t xml:space="preserve"> </w:t>
      </w:r>
      <w:r w:rsidRPr="0092775D">
        <w:rPr>
          <w:rFonts w:ascii="GHEA Grapalat" w:hAnsi="GHEA Grapalat"/>
          <w:sz w:val="24"/>
          <w:szCs w:val="24"/>
          <w:lang w:val="hy-AM"/>
        </w:rPr>
        <w:t>աշխատող</w:t>
      </w:r>
      <w:r w:rsidRPr="0092775D">
        <w:rPr>
          <w:rFonts w:ascii="GHEA Grapalat" w:hAnsi="GHEA Grapalat"/>
          <w:sz w:val="24"/>
          <w:szCs w:val="24"/>
          <w:lang w:val="vi"/>
        </w:rPr>
        <w:t xml:space="preserve"> </w:t>
      </w:r>
      <w:r w:rsidRPr="0092775D">
        <w:rPr>
          <w:rFonts w:ascii="GHEA Grapalat" w:hAnsi="GHEA Grapalat"/>
          <w:sz w:val="24"/>
          <w:szCs w:val="24"/>
          <w:lang w:val="hy-AM"/>
        </w:rPr>
        <w:t>տրանսպորտային</w:t>
      </w:r>
      <w:r w:rsidRPr="0092775D">
        <w:rPr>
          <w:rFonts w:ascii="GHEA Grapalat" w:hAnsi="GHEA Grapalat"/>
          <w:sz w:val="24"/>
          <w:szCs w:val="24"/>
          <w:lang w:val="vi"/>
        </w:rPr>
        <w:t xml:space="preserve"> </w:t>
      </w:r>
      <w:r w:rsidRPr="0092775D">
        <w:rPr>
          <w:rFonts w:ascii="GHEA Grapalat" w:hAnsi="GHEA Grapalat"/>
          <w:sz w:val="24"/>
          <w:szCs w:val="24"/>
          <w:lang w:val="hy-AM"/>
        </w:rPr>
        <w:t>միջոցների</w:t>
      </w:r>
      <w:r w:rsidRPr="0092775D">
        <w:rPr>
          <w:rFonts w:ascii="GHEA Grapalat" w:hAnsi="GHEA Grapalat"/>
          <w:sz w:val="24"/>
          <w:szCs w:val="24"/>
          <w:lang w:val="vi"/>
        </w:rPr>
        <w:t xml:space="preserve"> </w:t>
      </w:r>
      <w:r w:rsidRPr="0092775D">
        <w:rPr>
          <w:rFonts w:ascii="GHEA Grapalat" w:hAnsi="GHEA Grapalat"/>
          <w:sz w:val="24"/>
          <w:szCs w:val="24"/>
          <w:lang w:val="hy-AM"/>
        </w:rPr>
        <w:t>և</w:t>
      </w:r>
      <w:r w:rsidRPr="0092775D">
        <w:rPr>
          <w:rFonts w:ascii="GHEA Grapalat" w:hAnsi="GHEA Grapalat"/>
          <w:sz w:val="24"/>
          <w:szCs w:val="24"/>
          <w:lang w:val="vi"/>
        </w:rPr>
        <w:t xml:space="preserve"> </w:t>
      </w:r>
      <w:r w:rsidRPr="0092775D">
        <w:rPr>
          <w:rFonts w:ascii="GHEA Grapalat" w:hAnsi="GHEA Grapalat"/>
          <w:sz w:val="24"/>
          <w:szCs w:val="24"/>
          <w:lang w:val="hy-AM"/>
        </w:rPr>
        <w:t>հարակից</w:t>
      </w:r>
      <w:r w:rsidRPr="0092775D">
        <w:rPr>
          <w:rFonts w:ascii="GHEA Grapalat" w:hAnsi="GHEA Grapalat"/>
          <w:sz w:val="24"/>
          <w:szCs w:val="24"/>
          <w:lang w:val="vi"/>
        </w:rPr>
        <w:t xml:space="preserve"> </w:t>
      </w:r>
      <w:r w:rsidRPr="0092775D">
        <w:rPr>
          <w:rFonts w:ascii="GHEA Grapalat" w:hAnsi="GHEA Grapalat"/>
          <w:sz w:val="24"/>
          <w:szCs w:val="24"/>
          <w:lang w:val="hy-AM"/>
        </w:rPr>
        <w:t>ենթակառուցվածքների</w:t>
      </w:r>
      <w:r w:rsidRPr="0092775D">
        <w:rPr>
          <w:rFonts w:ascii="GHEA Grapalat" w:hAnsi="GHEA Grapalat"/>
          <w:sz w:val="24"/>
          <w:szCs w:val="24"/>
          <w:lang w:val="vi"/>
        </w:rPr>
        <w:t xml:space="preserve"> </w:t>
      </w:r>
      <w:r w:rsidRPr="0092775D">
        <w:rPr>
          <w:rFonts w:ascii="GHEA Grapalat" w:hAnsi="GHEA Grapalat"/>
          <w:sz w:val="24"/>
          <w:szCs w:val="24"/>
          <w:lang w:val="hy-AM"/>
        </w:rPr>
        <w:t>ներդրման</w:t>
      </w:r>
      <w:r w:rsidRPr="0092775D">
        <w:rPr>
          <w:rFonts w:ascii="GHEA Grapalat" w:hAnsi="GHEA Grapalat"/>
          <w:sz w:val="24"/>
          <w:szCs w:val="24"/>
          <w:lang w:val="vi"/>
        </w:rPr>
        <w:t xml:space="preserve"> </w:t>
      </w:r>
      <w:r w:rsidRPr="0092775D">
        <w:rPr>
          <w:rFonts w:ascii="GHEA Grapalat" w:hAnsi="GHEA Grapalat"/>
          <w:sz w:val="24"/>
          <w:szCs w:val="24"/>
          <w:lang w:val="hy-AM"/>
        </w:rPr>
        <w:t>ծրագրի</w:t>
      </w:r>
      <w:r w:rsidRPr="0092775D">
        <w:rPr>
          <w:rFonts w:ascii="GHEA Grapalat" w:hAnsi="GHEA Grapalat"/>
          <w:sz w:val="24"/>
          <w:szCs w:val="24"/>
          <w:lang w:val="vi"/>
        </w:rPr>
        <w:t xml:space="preserve"> </w:t>
      </w:r>
      <w:r w:rsidRPr="0092775D">
        <w:rPr>
          <w:rFonts w:ascii="GHEA Grapalat" w:hAnsi="GHEA Grapalat"/>
          <w:sz w:val="24"/>
          <w:szCs w:val="24"/>
          <w:lang w:val="hy-AM"/>
        </w:rPr>
        <w:t>իրականացում</w:t>
      </w:r>
      <w:r w:rsidRPr="0092775D">
        <w:rPr>
          <w:rFonts w:ascii="GHEA Grapalat" w:hAnsi="GHEA Grapalat"/>
          <w:sz w:val="24"/>
          <w:szCs w:val="24"/>
          <w:lang w:val="vi"/>
        </w:rPr>
        <w:t xml:space="preserve">» </w:t>
      </w:r>
      <w:r w:rsidRPr="0092775D">
        <w:rPr>
          <w:rFonts w:ascii="GHEA Grapalat" w:hAnsi="GHEA Grapalat"/>
          <w:sz w:val="24"/>
          <w:szCs w:val="24"/>
          <w:lang w:val="hy-AM"/>
        </w:rPr>
        <w:t>միջոցառումը, որի</w:t>
      </w:r>
      <w:r w:rsidRPr="0092775D">
        <w:rPr>
          <w:rFonts w:ascii="GHEA Grapalat" w:hAnsi="GHEA Grapalat"/>
          <w:sz w:val="24"/>
          <w:szCs w:val="24"/>
          <w:lang w:val="vi"/>
        </w:rPr>
        <w:t xml:space="preserve"> </w:t>
      </w:r>
      <w:r w:rsidRPr="0092775D">
        <w:rPr>
          <w:rFonts w:ascii="GHEA Grapalat" w:hAnsi="GHEA Grapalat"/>
          <w:sz w:val="24"/>
          <w:szCs w:val="24"/>
          <w:lang w:val="hy-AM"/>
        </w:rPr>
        <w:t>կատարման</w:t>
      </w:r>
      <w:r w:rsidRPr="0092775D">
        <w:rPr>
          <w:rFonts w:ascii="GHEA Grapalat" w:hAnsi="GHEA Grapalat"/>
          <w:sz w:val="24"/>
          <w:szCs w:val="24"/>
          <w:lang w:val="vi"/>
        </w:rPr>
        <w:t xml:space="preserve"> </w:t>
      </w:r>
      <w:r w:rsidRPr="0092775D">
        <w:rPr>
          <w:rFonts w:ascii="GHEA Grapalat" w:hAnsi="GHEA Grapalat"/>
          <w:sz w:val="24"/>
          <w:szCs w:val="24"/>
          <w:lang w:val="hy-AM"/>
        </w:rPr>
        <w:t>շրջանակում</w:t>
      </w:r>
      <w:r w:rsidR="00017131" w:rsidRPr="0092775D">
        <w:rPr>
          <w:rFonts w:ascii="GHEA Grapalat" w:hAnsi="GHEA Grapalat"/>
          <w:sz w:val="24"/>
          <w:szCs w:val="24"/>
          <w:lang w:val="hy-AM"/>
        </w:rPr>
        <w:t>,</w:t>
      </w:r>
      <w:r w:rsidRPr="0092775D">
        <w:rPr>
          <w:rFonts w:ascii="GHEA Grapalat" w:hAnsi="GHEA Grapalat"/>
          <w:sz w:val="24"/>
          <w:szCs w:val="24"/>
          <w:lang w:val="vi"/>
        </w:rPr>
        <w:t xml:space="preserve"> </w:t>
      </w:r>
      <w:r w:rsidR="00017131" w:rsidRPr="0092775D">
        <w:rPr>
          <w:rFonts w:ascii="GHEA Grapalat" w:hAnsi="GHEA Grapalat"/>
          <w:sz w:val="24"/>
          <w:szCs w:val="24"/>
          <w:lang w:val="hy-AM"/>
        </w:rPr>
        <w:t xml:space="preserve">որպես ոլորտը խթանող գործողություն </w:t>
      </w:r>
      <w:r w:rsidRPr="0092775D">
        <w:rPr>
          <w:rFonts w:ascii="GHEA Grapalat" w:hAnsi="GHEA Grapalat"/>
          <w:sz w:val="24"/>
          <w:szCs w:val="24"/>
          <w:lang w:val="hy-AM"/>
        </w:rPr>
        <w:t xml:space="preserve">նախատեսվում է </w:t>
      </w:r>
      <w:r w:rsidRPr="0092775D">
        <w:rPr>
          <w:rFonts w:ascii="GHEA Grapalat" w:hAnsi="GHEA Grapalat"/>
          <w:sz w:val="24"/>
          <w:szCs w:val="24"/>
          <w:lang w:val="vi"/>
        </w:rPr>
        <w:t xml:space="preserve"> </w:t>
      </w:r>
      <w:r w:rsidR="00017131" w:rsidRPr="0092775D">
        <w:rPr>
          <w:rFonts w:ascii="GHEA Grapalat" w:hAnsi="GHEA Grapalat"/>
          <w:sz w:val="24"/>
          <w:szCs w:val="24"/>
          <w:lang w:val="hy-AM"/>
        </w:rPr>
        <w:t>արտոնությունների ուսումնասիրություն և ըստ անհրաժեշտության՝ համապատասխան իրավական ակտերի նախագծերի մշակում։</w:t>
      </w:r>
    </w:p>
    <w:p w14:paraId="1CB849A2" w14:textId="46F5FCF6" w:rsidR="005D1565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Նախագծի ընդունումն ուղղակիորեն բխում է Կառավարության կողմից 2021թ. ապրիլի 22-ին ընդունված «Փարիզյան համաձայնագրի ներքո Հայաստանի Հանրապետության 2021-2030 թվականների Ազգային մակարդակով սահմանված գործողությունները հաստատելու մասին» որոշմամբ ամրագրված՝ մինչ</w:t>
      </w:r>
      <w:r w:rsidR="00933BE8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2030թ. ջերմոցային գազերի արտանետումները 1990թ. արտանետումների մակարդակի համեմատ 40 տոկոսով նվազեցնելու մասին ՀՀ պարտավորության իրականացման ապահովման անհրաժեշտությունից, հաշվի առնելով, որ շարժական աղբյուրներից մթնոլորտային օդի աղտոտումը ունի կար</w:t>
      </w:r>
      <w:r w:rsidR="00933BE8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որ դերակատարում</w:t>
      </w:r>
      <w:r w:rsidR="008F2B8B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՝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մասնավորապես արտանետվող ջերմոցային գազերի հանրագումարում:</w:t>
      </w:r>
    </w:p>
    <w:p w14:paraId="42E05D1E" w14:textId="77777777" w:rsidR="00D843D3" w:rsidRPr="007E6E53" w:rsidRDefault="00D843D3" w:rsidP="00695042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7E6E53">
        <w:rPr>
          <w:rFonts w:ascii="GHEA Grapalat" w:hAnsi="GHEA Grapalat" w:cs="Cambria Math"/>
          <w:b/>
          <w:bCs/>
          <w:iCs/>
          <w:sz w:val="24"/>
          <w:szCs w:val="24"/>
          <w:lang w:val="hy-AM"/>
        </w:rPr>
        <w:t>6</w:t>
      </w:r>
      <w:r w:rsidRPr="007E6E53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Pr="007E6E53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Լրացուցիչ ֆինանսական միջոցների անհրաժեշտության վերաբերյալ</w:t>
      </w:r>
    </w:p>
    <w:p w14:paraId="34610E42" w14:textId="77777777" w:rsidR="00D843D3" w:rsidRPr="00550963" w:rsidRDefault="00D843D3" w:rsidP="00695042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550963">
        <w:rPr>
          <w:rFonts w:ascii="GHEA Grapalat" w:hAnsi="GHEA Grapalat"/>
          <w:iCs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0A6CC2F6" w14:textId="77777777" w:rsidR="00D843D3" w:rsidRPr="007E6E53" w:rsidRDefault="00D843D3" w:rsidP="00695042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7E6E53">
        <w:rPr>
          <w:rFonts w:ascii="GHEA Grapalat" w:hAnsi="GHEA Grapalat" w:cs="Cambria Math"/>
          <w:b/>
          <w:bCs/>
          <w:iCs/>
          <w:sz w:val="24"/>
          <w:szCs w:val="24"/>
          <w:lang w:val="hy-AM"/>
        </w:rPr>
        <w:t>7</w:t>
      </w:r>
      <w:r w:rsidRPr="007E6E53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Pr="007E6E53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5E6AD0FD" w14:textId="47AC9348" w:rsidR="00D843D3" w:rsidRPr="00550963" w:rsidRDefault="00695042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hAnsi="GHEA Grapalat"/>
          <w:iCs/>
          <w:sz w:val="24"/>
          <w:szCs w:val="24"/>
          <w:lang w:val="hy-AM"/>
        </w:rPr>
        <w:t xml:space="preserve">Հաշվի առնելով այն հանգամանքը, որ </w:t>
      </w:r>
      <w:r w:rsidR="008F2B8B" w:rsidRPr="0092775D">
        <w:rPr>
          <w:rFonts w:ascii="GHEA Grapalat" w:hAnsi="GHEA Grapalat"/>
          <w:iCs/>
          <w:sz w:val="24"/>
          <w:szCs w:val="24"/>
          <w:lang w:val="hy-AM"/>
        </w:rPr>
        <w:t>2021-202</w:t>
      </w:r>
      <w:r w:rsidR="0092775D" w:rsidRPr="0092775D">
        <w:rPr>
          <w:rFonts w:ascii="GHEA Grapalat" w:hAnsi="GHEA Grapalat"/>
          <w:iCs/>
          <w:sz w:val="24"/>
          <w:szCs w:val="24"/>
          <w:lang w:val="hy-AM"/>
        </w:rPr>
        <w:t>5</w:t>
      </w:r>
      <w:r w:rsidR="008F2B8B" w:rsidRPr="00550963">
        <w:rPr>
          <w:rFonts w:ascii="GHEA Grapalat" w:hAnsi="GHEA Grapalat"/>
          <w:iCs/>
          <w:sz w:val="24"/>
          <w:szCs w:val="24"/>
          <w:lang w:val="hy-AM"/>
        </w:rPr>
        <w:t xml:space="preserve"> թթ</w:t>
      </w:r>
      <w:r w:rsidR="008F2B8B" w:rsidRPr="00550963">
        <w:rPr>
          <w:rFonts w:ascii="Cambria Math" w:hAnsi="Cambria Math" w:cs="Cambria Math"/>
          <w:iCs/>
          <w:sz w:val="24"/>
          <w:szCs w:val="24"/>
          <w:lang w:val="hy-AM"/>
        </w:rPr>
        <w:t>․</w:t>
      </w:r>
      <w:r w:rsidR="008F2B8B" w:rsidRPr="00550963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550963">
        <w:rPr>
          <w:rFonts w:ascii="GHEA Grapalat" w:hAnsi="GHEA Grapalat"/>
          <w:iCs/>
          <w:sz w:val="24"/>
          <w:szCs w:val="24"/>
          <w:lang w:val="hy-AM"/>
        </w:rPr>
        <w:t>գործ</w:t>
      </w:r>
      <w:r w:rsidR="008F2B8B" w:rsidRPr="00550963">
        <w:rPr>
          <w:rFonts w:ascii="GHEA Grapalat" w:hAnsi="GHEA Grapalat"/>
          <w:iCs/>
          <w:sz w:val="24"/>
          <w:szCs w:val="24"/>
          <w:lang w:val="hy-AM"/>
        </w:rPr>
        <w:t>ող Օրենսգրքի շրջանակներում</w:t>
      </w:r>
      <w:r w:rsidRPr="00550963">
        <w:rPr>
          <w:rFonts w:ascii="GHEA Grapalat" w:hAnsi="GHEA Grapalat"/>
          <w:iCs/>
          <w:sz w:val="24"/>
          <w:szCs w:val="24"/>
          <w:lang w:val="hy-AM"/>
        </w:rPr>
        <w:t xml:space="preserve"> ԱԱՀ-ի</w:t>
      </w:r>
      <w:r w:rsidR="008F2B8B" w:rsidRPr="00550963">
        <w:rPr>
          <w:rFonts w:ascii="GHEA Grapalat" w:hAnsi="GHEA Grapalat"/>
          <w:iCs/>
          <w:sz w:val="24"/>
          <w:szCs w:val="24"/>
          <w:lang w:val="hy-AM"/>
        </w:rPr>
        <w:t xml:space="preserve"> և նշված ապրանքատեսակների ներմուծումից ԱԱՀ չի գանձվել և ՀՀ պետական բյուջե գումար չի մուտքագրվել, ուստի պետական եկամուտներում հնարավոր կորուստներ չեն նախատեսվում։</w:t>
      </w:r>
    </w:p>
    <w:sectPr w:rsidR="00D843D3" w:rsidRPr="00550963" w:rsidSect="001E3DA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15BB7"/>
    <w:multiLevelType w:val="hybridMultilevel"/>
    <w:tmpl w:val="7F926EF8"/>
    <w:lvl w:ilvl="0" w:tplc="1C6E1590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37017C"/>
    <w:multiLevelType w:val="multilevel"/>
    <w:tmpl w:val="27DA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8B7C47"/>
    <w:multiLevelType w:val="multilevel"/>
    <w:tmpl w:val="2100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2B5BD1"/>
    <w:multiLevelType w:val="multilevel"/>
    <w:tmpl w:val="569A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019"/>
    <w:rsid w:val="00017131"/>
    <w:rsid w:val="00093E49"/>
    <w:rsid w:val="000A7B60"/>
    <w:rsid w:val="000D1A95"/>
    <w:rsid w:val="000E42E2"/>
    <w:rsid w:val="0010679E"/>
    <w:rsid w:val="001277EA"/>
    <w:rsid w:val="00162941"/>
    <w:rsid w:val="001633C3"/>
    <w:rsid w:val="001E2F89"/>
    <w:rsid w:val="001E3DAE"/>
    <w:rsid w:val="001F4DA2"/>
    <w:rsid w:val="00231295"/>
    <w:rsid w:val="00265922"/>
    <w:rsid w:val="002C7A85"/>
    <w:rsid w:val="00300B4E"/>
    <w:rsid w:val="003018C7"/>
    <w:rsid w:val="0032646B"/>
    <w:rsid w:val="003300C2"/>
    <w:rsid w:val="00395870"/>
    <w:rsid w:val="003963A6"/>
    <w:rsid w:val="003A08A8"/>
    <w:rsid w:val="003A5F75"/>
    <w:rsid w:val="003B4E5B"/>
    <w:rsid w:val="003C09BF"/>
    <w:rsid w:val="00400353"/>
    <w:rsid w:val="00430192"/>
    <w:rsid w:val="00464093"/>
    <w:rsid w:val="00497FB9"/>
    <w:rsid w:val="00550963"/>
    <w:rsid w:val="00584019"/>
    <w:rsid w:val="00585B4D"/>
    <w:rsid w:val="005D1565"/>
    <w:rsid w:val="005F2DC2"/>
    <w:rsid w:val="005F721B"/>
    <w:rsid w:val="00606CD1"/>
    <w:rsid w:val="006235B9"/>
    <w:rsid w:val="00626871"/>
    <w:rsid w:val="006604F6"/>
    <w:rsid w:val="00695042"/>
    <w:rsid w:val="006A7DD7"/>
    <w:rsid w:val="006D7243"/>
    <w:rsid w:val="00706810"/>
    <w:rsid w:val="007334F2"/>
    <w:rsid w:val="007B0C26"/>
    <w:rsid w:val="007C10E3"/>
    <w:rsid w:val="007D7F68"/>
    <w:rsid w:val="007E6E53"/>
    <w:rsid w:val="008360E5"/>
    <w:rsid w:val="00855E43"/>
    <w:rsid w:val="008A4CFC"/>
    <w:rsid w:val="008A512D"/>
    <w:rsid w:val="008F1E9A"/>
    <w:rsid w:val="008F2B8B"/>
    <w:rsid w:val="0092775D"/>
    <w:rsid w:val="00933BE8"/>
    <w:rsid w:val="009F304B"/>
    <w:rsid w:val="009F5500"/>
    <w:rsid w:val="00A3590E"/>
    <w:rsid w:val="00A677AA"/>
    <w:rsid w:val="00AB1A01"/>
    <w:rsid w:val="00AC42DA"/>
    <w:rsid w:val="00B20A9E"/>
    <w:rsid w:val="00B241B2"/>
    <w:rsid w:val="00B55BE7"/>
    <w:rsid w:val="00B93D1A"/>
    <w:rsid w:val="00BF6DBE"/>
    <w:rsid w:val="00C378BD"/>
    <w:rsid w:val="00C41C06"/>
    <w:rsid w:val="00C670F3"/>
    <w:rsid w:val="00CB4556"/>
    <w:rsid w:val="00CC26E3"/>
    <w:rsid w:val="00D14155"/>
    <w:rsid w:val="00D843D3"/>
    <w:rsid w:val="00DC38C7"/>
    <w:rsid w:val="00DD2D72"/>
    <w:rsid w:val="00DE490D"/>
    <w:rsid w:val="00DE563C"/>
    <w:rsid w:val="00E37237"/>
    <w:rsid w:val="00E40637"/>
    <w:rsid w:val="00E67FE4"/>
    <w:rsid w:val="00EA7932"/>
    <w:rsid w:val="00EC5DFB"/>
    <w:rsid w:val="00EE47E9"/>
    <w:rsid w:val="00EE7E55"/>
    <w:rsid w:val="00F3314C"/>
    <w:rsid w:val="00F71A2D"/>
    <w:rsid w:val="00F8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66C19"/>
  <w15:chartTrackingRefBased/>
  <w15:docId w15:val="{E378ECF2-E02F-4B25-8B43-BFB23FE0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840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5840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401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8401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584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4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670F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97FB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41C0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42"/>
      <w:szCs w:val="4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41C06"/>
    <w:rPr>
      <w:rFonts w:ascii="Microsoft Sans Serif" w:eastAsia="Microsoft Sans Serif" w:hAnsi="Microsoft Sans Serif" w:cs="Microsoft Sans Serif"/>
      <w:kern w:val="0"/>
      <w:sz w:val="42"/>
      <w:szCs w:val="4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B. Muradyan</dc:creator>
  <cp:keywords>https://mul2-mineconomy.gov.am/tasks/800097/oneclick?token=24658934578dd9a77847cd2293996948</cp:keywords>
  <dc:description/>
  <cp:lastModifiedBy>Azgush A. Elazyan</cp:lastModifiedBy>
  <cp:revision>18</cp:revision>
  <dcterms:created xsi:type="dcterms:W3CDTF">2025-04-07T06:08:00Z</dcterms:created>
  <dcterms:modified xsi:type="dcterms:W3CDTF">2025-04-09T11:40:00Z</dcterms:modified>
</cp:coreProperties>
</file>