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6E6C" w14:textId="798DC27B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4E6AE896" w14:textId="77777777" w:rsidR="00E539C9" w:rsidRPr="00614E9F" w:rsidRDefault="00E539C9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64F32A" w14:textId="7F683307" w:rsidR="00211FA6" w:rsidRPr="00614E9F" w:rsidRDefault="00AF600E" w:rsidP="00211FA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AF600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</w:t>
      </w:r>
      <w:r w:rsidR="009B537B">
        <w:rPr>
          <w:rFonts w:ascii="GHEA Grapalat" w:hAnsi="GHEA Grapalat"/>
          <w:sz w:val="24"/>
          <w:szCs w:val="24"/>
          <w:lang w:val="hy-AM"/>
        </w:rPr>
        <w:t>4</w:t>
      </w:r>
      <w:r w:rsidRPr="00AF600E">
        <w:rPr>
          <w:rFonts w:ascii="GHEA Grapalat" w:hAnsi="GHEA Grapalat"/>
          <w:sz w:val="24"/>
          <w:szCs w:val="24"/>
          <w:lang w:val="hy-AM"/>
        </w:rPr>
        <w:t xml:space="preserve"> ԹՎԱԿԱՆԻ ԴԵԿՏԵՄԲԵՐԻ 19-Ի N 2036-Ն ՈՐՈՇՄԱՆ ՄԵՋ ԼՐԱՑՈՒՄՆԵՐ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 </w:t>
      </w:r>
      <w:r w:rsidR="00211FA6" w:rsidRPr="00614E9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18D14224" w14:textId="4D52C45D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9711C6" w14:textId="3BDB650D" w:rsidR="005C225B" w:rsidRPr="00614E9F" w:rsidRDefault="005C225B" w:rsidP="00E539C9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97125246"/>
      <w:r w:rsidRPr="00614E9F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4F2D475A" w14:textId="3FEEB932" w:rsidR="009B537B" w:rsidRPr="009B537B" w:rsidRDefault="009B537B" w:rsidP="009B537B">
      <w:pPr>
        <w:spacing w:after="0" w:line="360" w:lineRule="auto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9B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2024 թվականի դեկտեմբերի 19-ի N 2036-Ն որոշման մեջ լրացումներ կատարելու մասին Հայաստանի Հանրապետության կառավարության որոշման</w:t>
      </w:r>
      <w:r w:rsidRPr="009B53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sz w:val="24"/>
          <w:szCs w:val="24"/>
          <w:lang w:val="hy-AM"/>
        </w:rPr>
        <w:t>նախագծի մշակումը պայմանավորված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95537620"/>
      <w:r w:rsidRPr="00614E9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2024 թվականի</w:t>
      </w:r>
      <w:r>
        <w:rPr>
          <w:rFonts w:ascii="GHEA Grapalat" w:hAnsi="GHEA Grapalat"/>
          <w:sz w:val="24"/>
          <w:szCs w:val="24"/>
          <w:lang w:val="hy-AM"/>
        </w:rPr>
        <w:t xml:space="preserve"> դեկտեմբերի 19-ի </w:t>
      </w:r>
      <w:r w:rsidRPr="00614E9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տարածք ներմուծվող սերուցքային կարագի նկատմամբ սակագնային արտոնություն կիրառելու, ներմուծման բաշխման կարգը, մեկանգամյա և գլխավոր լիցենզիաների ձևերը հաստատելու մասին» </w:t>
      </w:r>
      <w:r w:rsidRPr="009B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2036-Ն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</w:t>
      </w:r>
      <w:bookmarkEnd w:id="1"/>
      <w:r w:rsidRPr="009B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/այսուհետ՝ Որոշում/ դրույթներին համապատասխան Հայաստանի Հանրապետությ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անը հատկացված՝ 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>2000</w:t>
      </w:r>
      <w:r w:rsidRPr="00614E9F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0 տոննայի չափով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սերուցքային կարագի</w:t>
      </w:r>
      <w:r w:rsidRPr="009B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թույլատրելի ծավալի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ամբողջ քանակը սպառելու </w:t>
      </w:r>
      <w:r w:rsidRPr="009B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անհրաժեշտությամբ։</w:t>
      </w:r>
    </w:p>
    <w:bookmarkEnd w:id="0"/>
    <w:p w14:paraId="7E1CAAAF" w14:textId="25348439" w:rsidR="00211FA6" w:rsidRDefault="00211FA6" w:rsidP="00E539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C225B" w:rsidRPr="00614E9F">
        <w:rPr>
          <w:rFonts w:ascii="GHEA Grapalat" w:hAnsi="GHEA Grapalat" w:cs="Sylfaen"/>
          <w:b/>
          <w:sz w:val="24"/>
          <w:szCs w:val="24"/>
          <w:lang w:val="hy-AM"/>
        </w:rPr>
        <w:t>նթացիկ</w:t>
      </w:r>
      <w:r w:rsidR="005C225B" w:rsidRPr="00614E9F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14:paraId="409B6687" w14:textId="6C26AC52" w:rsidR="00B770AE" w:rsidRDefault="00235A96" w:rsidP="00B770AE">
      <w:pPr>
        <w:pStyle w:val="ListParagraph"/>
        <w:spacing w:after="0" w:line="360" w:lineRule="auto"/>
        <w:ind w:left="9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35A96">
        <w:rPr>
          <w:rFonts w:ascii="GHEA Grapalat" w:hAnsi="GHEA Grapalat"/>
          <w:bCs/>
          <w:sz w:val="24"/>
          <w:szCs w:val="24"/>
          <w:lang w:val="hy-AM"/>
        </w:rPr>
        <w:t xml:space="preserve">Որոշման կից Հավելված N1-ով  սահմանված կարգի պահանջներին համապատասխան իրականացվել է արտաքին տնտեսական գործունեության մասնակիցների միջև </w:t>
      </w:r>
      <w:r w:rsidR="00B770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սերուցքային կարագի</w:t>
      </w:r>
      <w:r w:rsidR="00B770AE" w:rsidRPr="009B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5A96">
        <w:rPr>
          <w:rFonts w:ascii="GHEA Grapalat" w:hAnsi="GHEA Grapalat"/>
          <w:bCs/>
          <w:sz w:val="24"/>
          <w:szCs w:val="24"/>
          <w:lang w:val="hy-AM"/>
        </w:rPr>
        <w:t>ներմուծման թույլատրելի ծավալի բաշխ</w:t>
      </w:r>
      <w:r w:rsidR="00B770AE">
        <w:rPr>
          <w:rFonts w:ascii="GHEA Grapalat" w:hAnsi="GHEA Grapalat"/>
          <w:bCs/>
          <w:sz w:val="24"/>
          <w:szCs w:val="24"/>
          <w:lang w:val="hy-AM"/>
        </w:rPr>
        <w:t>ում։</w:t>
      </w:r>
    </w:p>
    <w:p w14:paraId="2E9907A9" w14:textId="496DAF9C" w:rsidR="00751B96" w:rsidRDefault="00B770AE" w:rsidP="00B770AE">
      <w:pPr>
        <w:pStyle w:val="ListParagraph"/>
        <w:spacing w:after="0" w:line="360" w:lineRule="auto"/>
        <w:ind w:left="9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2" w:name="_Hlk195537830"/>
      <w:r>
        <w:rPr>
          <w:rFonts w:ascii="GHEA Grapalat" w:hAnsi="GHEA Grapalat"/>
          <w:bCs/>
          <w:sz w:val="24"/>
          <w:szCs w:val="24"/>
          <w:lang w:val="hy-AM"/>
        </w:rPr>
        <w:t xml:space="preserve">Հիմք ընդունելով որոշ </w:t>
      </w:r>
      <w:r w:rsidRPr="00B770AE">
        <w:rPr>
          <w:rFonts w:ascii="GHEA Grapalat" w:hAnsi="GHEA Grapalat"/>
          <w:bCs/>
          <w:sz w:val="24"/>
          <w:szCs w:val="24"/>
          <w:lang w:val="hy-AM"/>
        </w:rPr>
        <w:t>տնտեսվարող սուբյեկտների կողմից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ներկայացված տեղեկատվությունն առ այն, որ վերոնշյալ Որոշման շրջանակներում տրամադրված լիցենզիաներով հաստատված քանակությունից</w:t>
      </w:r>
      <w:r w:rsidR="00E50DD5">
        <w:rPr>
          <w:rFonts w:ascii="GHEA Grapalat" w:hAnsi="GHEA Grapalat"/>
          <w:bCs/>
          <w:sz w:val="24"/>
          <w:szCs w:val="24"/>
          <w:lang w:val="hy-AM"/>
        </w:rPr>
        <w:t xml:space="preserve"> առկա են որոշակի քանակներ, որոնք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50DD5">
        <w:rPr>
          <w:rFonts w:ascii="GHEA Grapalat" w:hAnsi="GHEA Grapalat"/>
          <w:bCs/>
          <w:sz w:val="24"/>
          <w:szCs w:val="24"/>
          <w:lang w:val="hy-AM"/>
        </w:rPr>
        <w:t xml:space="preserve">վերջիններս չեն նախատեսում ներմուծել և միաժամանակ, կան </w:t>
      </w:r>
      <w:r w:rsidR="00E50DD5" w:rsidRPr="00B770AE">
        <w:rPr>
          <w:rFonts w:ascii="GHEA Grapalat" w:hAnsi="GHEA Grapalat"/>
          <w:bCs/>
          <w:sz w:val="24"/>
          <w:szCs w:val="24"/>
          <w:lang w:val="hy-AM"/>
        </w:rPr>
        <w:t>տնտեսվարող սուբյեկտներ</w:t>
      </w:r>
      <w:r w:rsidR="00E50DD5">
        <w:rPr>
          <w:rFonts w:ascii="GHEA Grapalat" w:hAnsi="GHEA Grapalat"/>
          <w:bCs/>
          <w:sz w:val="24"/>
          <w:szCs w:val="24"/>
          <w:lang w:val="hy-AM"/>
        </w:rPr>
        <w:t>, որոնք ներկայացրել են պահանջարկ նշյալ առկա ծավալը /մնացորդը/ սպառելու նպատակով</w:t>
      </w:r>
      <w:r w:rsidR="005E34E7">
        <w:rPr>
          <w:rFonts w:ascii="GHEA Grapalat" w:hAnsi="GHEA Grapalat"/>
          <w:bCs/>
          <w:sz w:val="24"/>
          <w:szCs w:val="24"/>
          <w:lang w:val="hy-AM"/>
        </w:rPr>
        <w:t>,</w:t>
      </w:r>
      <w:r w:rsidR="00E50DD5">
        <w:rPr>
          <w:rFonts w:ascii="GHEA Grapalat" w:hAnsi="GHEA Grapalat"/>
          <w:bCs/>
          <w:sz w:val="24"/>
          <w:szCs w:val="24"/>
          <w:lang w:val="hy-AM"/>
        </w:rPr>
        <w:t xml:space="preserve"> որոշում է կայացվել Որոշման </w:t>
      </w:r>
      <w:r w:rsidR="001C4D52">
        <w:rPr>
          <w:rFonts w:ascii="GHEA Grapalat" w:hAnsi="GHEA Grapalat"/>
          <w:bCs/>
          <w:sz w:val="24"/>
          <w:szCs w:val="24"/>
          <w:lang w:val="hy-AM"/>
        </w:rPr>
        <w:t>Հ</w:t>
      </w:r>
      <w:r w:rsidR="00E50DD5" w:rsidRPr="00E50DD5">
        <w:rPr>
          <w:rFonts w:ascii="GHEA Grapalat" w:hAnsi="GHEA Grapalat"/>
          <w:bCs/>
          <w:sz w:val="24"/>
          <w:szCs w:val="24"/>
          <w:lang w:val="hy-AM"/>
        </w:rPr>
        <w:t>ավելված</w:t>
      </w:r>
      <w:r w:rsidR="001C4D5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50DD5" w:rsidRPr="00E50DD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C4D52" w:rsidRPr="00235A96">
        <w:rPr>
          <w:rFonts w:ascii="GHEA Grapalat" w:hAnsi="GHEA Grapalat"/>
          <w:bCs/>
          <w:sz w:val="24"/>
          <w:szCs w:val="24"/>
          <w:lang w:val="hy-AM"/>
        </w:rPr>
        <w:t>N1</w:t>
      </w:r>
      <w:r w:rsidR="001C4D52">
        <w:rPr>
          <w:rFonts w:ascii="GHEA Grapalat" w:hAnsi="GHEA Grapalat"/>
          <w:bCs/>
          <w:sz w:val="24"/>
          <w:szCs w:val="24"/>
          <w:lang w:val="hy-AM"/>
        </w:rPr>
        <w:t xml:space="preserve">-ում նախատեսել </w:t>
      </w:r>
      <w:r w:rsidR="005E34E7">
        <w:rPr>
          <w:rFonts w:ascii="GHEA Grapalat" w:hAnsi="GHEA Grapalat"/>
          <w:bCs/>
          <w:sz w:val="24"/>
          <w:szCs w:val="24"/>
          <w:lang w:val="hy-AM"/>
        </w:rPr>
        <w:t>դրույթներ՝</w:t>
      </w:r>
      <w:r w:rsidR="00E50DD5">
        <w:rPr>
          <w:rFonts w:ascii="GHEA Grapalat" w:hAnsi="GHEA Grapalat"/>
          <w:bCs/>
          <w:sz w:val="24"/>
          <w:szCs w:val="24"/>
          <w:lang w:val="hy-AM"/>
        </w:rPr>
        <w:t xml:space="preserve"> համաձայն որոնց </w:t>
      </w:r>
      <w:r w:rsidR="005E34E7" w:rsidRPr="00B770AE">
        <w:rPr>
          <w:rFonts w:ascii="GHEA Grapalat" w:hAnsi="GHEA Grapalat"/>
          <w:bCs/>
          <w:sz w:val="24"/>
          <w:szCs w:val="24"/>
          <w:lang w:val="hy-AM"/>
        </w:rPr>
        <w:t>տնտեսվարող սուբյեկտներ</w:t>
      </w:r>
      <w:r w:rsidR="00751B96">
        <w:rPr>
          <w:rFonts w:ascii="GHEA Grapalat" w:hAnsi="GHEA Grapalat"/>
          <w:bCs/>
          <w:sz w:val="24"/>
          <w:szCs w:val="24"/>
          <w:lang w:val="hy-AM"/>
        </w:rPr>
        <w:t>ն</w:t>
      </w:r>
      <w:r w:rsidR="005E34E7" w:rsidRPr="00B770A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E34E7" w:rsidRPr="005E34E7">
        <w:rPr>
          <w:rFonts w:ascii="GHEA Grapalat" w:hAnsi="GHEA Grapalat"/>
          <w:bCs/>
          <w:sz w:val="24"/>
          <w:szCs w:val="24"/>
          <w:lang w:val="hy-AM"/>
        </w:rPr>
        <w:t xml:space="preserve">իրավունք </w:t>
      </w:r>
      <w:r w:rsidR="005E34E7">
        <w:rPr>
          <w:rFonts w:ascii="GHEA Grapalat" w:hAnsi="GHEA Grapalat"/>
          <w:bCs/>
          <w:sz w:val="24"/>
          <w:szCs w:val="24"/>
          <w:lang w:val="hy-AM"/>
        </w:rPr>
        <w:t>կունենան</w:t>
      </w:r>
      <w:r w:rsidR="005E34E7" w:rsidRPr="005E34E7">
        <w:rPr>
          <w:rFonts w:ascii="GHEA Grapalat" w:hAnsi="GHEA Grapalat"/>
          <w:bCs/>
          <w:sz w:val="24"/>
          <w:szCs w:val="24"/>
          <w:lang w:val="hy-AM"/>
        </w:rPr>
        <w:t xml:space="preserve"> հրաժարվելու իրենց հատկացված ծավալից՝ ամբողջությամբ կամ մասնակի</w:t>
      </w:r>
      <w:r w:rsidR="00751B96">
        <w:rPr>
          <w:rFonts w:ascii="GHEA Grapalat" w:hAnsi="GHEA Grapalat"/>
          <w:bCs/>
          <w:sz w:val="24"/>
          <w:szCs w:val="24"/>
          <w:lang w:val="hy-AM"/>
        </w:rPr>
        <w:t xml:space="preserve">, ինչպես նաև </w:t>
      </w:r>
      <w:r w:rsidR="001C4D52">
        <w:rPr>
          <w:rFonts w:ascii="GHEA Grapalat" w:hAnsi="GHEA Grapalat"/>
          <w:bCs/>
          <w:sz w:val="24"/>
          <w:szCs w:val="24"/>
          <w:lang w:val="hy-AM"/>
        </w:rPr>
        <w:t>կ</w:t>
      </w:r>
      <w:r w:rsidR="00751B96">
        <w:rPr>
          <w:rFonts w:ascii="GHEA Grapalat" w:hAnsi="GHEA Grapalat"/>
          <w:bCs/>
          <w:sz w:val="24"/>
          <w:szCs w:val="24"/>
          <w:lang w:val="hy-AM"/>
        </w:rPr>
        <w:t>սահմանվ</w:t>
      </w:r>
      <w:r w:rsidR="001C4D52">
        <w:rPr>
          <w:rFonts w:ascii="GHEA Grapalat" w:hAnsi="GHEA Grapalat"/>
          <w:bCs/>
          <w:sz w:val="24"/>
          <w:szCs w:val="24"/>
          <w:lang w:val="hy-AM"/>
        </w:rPr>
        <w:t>են</w:t>
      </w:r>
      <w:r w:rsidR="00751B96">
        <w:rPr>
          <w:rFonts w:ascii="GHEA Grapalat" w:hAnsi="GHEA Grapalat"/>
          <w:bCs/>
          <w:sz w:val="24"/>
          <w:szCs w:val="24"/>
          <w:lang w:val="hy-AM"/>
        </w:rPr>
        <w:t xml:space="preserve"> ն</w:t>
      </w:r>
      <w:r w:rsidR="00751B96" w:rsidRPr="00751B96">
        <w:rPr>
          <w:rFonts w:ascii="GHEA Grapalat" w:hAnsi="GHEA Grapalat"/>
          <w:bCs/>
          <w:sz w:val="24"/>
          <w:szCs w:val="24"/>
          <w:lang w:val="hy-AM"/>
        </w:rPr>
        <w:t>երմուծման թույլատրելի ծավալի չբաշխված քանակությունից ներմուծման նոր թույլատրելի ծավալ ստանալու համար հայտ</w:t>
      </w:r>
      <w:r w:rsidR="00751B96">
        <w:rPr>
          <w:rFonts w:ascii="GHEA Grapalat" w:hAnsi="GHEA Grapalat"/>
          <w:bCs/>
          <w:sz w:val="24"/>
          <w:szCs w:val="24"/>
          <w:lang w:val="hy-AM"/>
        </w:rPr>
        <w:t xml:space="preserve">երի ներկայացման և լիցենզիաների տրամադրման ժամկետները։ </w:t>
      </w:r>
    </w:p>
    <w:p w14:paraId="24DD3B8C" w14:textId="0BAC9B74" w:rsidR="00B770AE" w:rsidRDefault="00751B96" w:rsidP="00B770AE">
      <w:pPr>
        <w:pStyle w:val="ListParagraph"/>
        <w:spacing w:after="0" w:line="360" w:lineRule="auto"/>
        <w:ind w:left="9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3" w:name="_Hlk195537885"/>
      <w:bookmarkEnd w:id="2"/>
      <w:r w:rsidRPr="00235A96">
        <w:rPr>
          <w:rFonts w:ascii="GHEA Grapalat" w:hAnsi="GHEA Grapalat"/>
          <w:bCs/>
          <w:sz w:val="24"/>
          <w:szCs w:val="24"/>
          <w:lang w:val="hy-AM"/>
        </w:rPr>
        <w:t>Հաշվի առնելով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վերոնշյալը, </w:t>
      </w:r>
      <w:r w:rsidRPr="00235A96">
        <w:rPr>
          <w:rFonts w:ascii="GHEA Grapalat" w:hAnsi="GHEA Grapalat"/>
          <w:bCs/>
          <w:sz w:val="24"/>
          <w:szCs w:val="24"/>
          <w:lang w:val="hy-AM"/>
        </w:rPr>
        <w:t xml:space="preserve">ինչպես նաև այն հանգամանքը, որ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նշյալ </w:t>
      </w:r>
      <w:r w:rsidRPr="00235A96">
        <w:rPr>
          <w:rFonts w:ascii="GHEA Grapalat" w:hAnsi="GHEA Grapalat"/>
          <w:bCs/>
          <w:sz w:val="24"/>
          <w:szCs w:val="24"/>
          <w:lang w:val="hy-AM"/>
        </w:rPr>
        <w:t xml:space="preserve">սակագնային արտոնության գործողության ժամկետն ավարտվում է 2025 թվականի հունիսի </w:t>
      </w:r>
      <w:r>
        <w:rPr>
          <w:rFonts w:ascii="GHEA Grapalat" w:hAnsi="GHEA Grapalat"/>
          <w:bCs/>
          <w:sz w:val="24"/>
          <w:szCs w:val="24"/>
          <w:lang w:val="hy-AM"/>
        </w:rPr>
        <w:t>15</w:t>
      </w:r>
      <w:r w:rsidRPr="00235A96">
        <w:rPr>
          <w:rFonts w:ascii="GHEA Grapalat" w:hAnsi="GHEA Grapalat"/>
          <w:bCs/>
          <w:sz w:val="24"/>
          <w:szCs w:val="24"/>
          <w:lang w:val="hy-AM"/>
        </w:rPr>
        <w:t>-ին</w:t>
      </w:r>
      <w:bookmarkEnd w:id="3"/>
      <w:r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235A96">
        <w:rPr>
          <w:rFonts w:ascii="GHEA Grapalat" w:hAnsi="GHEA Grapalat"/>
          <w:bCs/>
          <w:sz w:val="24"/>
          <w:szCs w:val="24"/>
          <w:lang w:val="hy-AM"/>
        </w:rPr>
        <w:t xml:space="preserve">նախագծով առաջարկվում է կատարել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լրացումներ </w:t>
      </w:r>
      <w:r w:rsidRPr="00751B96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2024 թվականի դեկտեմբերի 19-ի N 2036-Ն որոշման մեջ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՝ սահմանելով </w:t>
      </w:r>
      <w:r w:rsidR="005E34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սերուցքային կարագի</w:t>
      </w:r>
      <w:r w:rsidR="005E34E7" w:rsidRPr="009B53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34E7" w:rsidRPr="00235A96">
        <w:rPr>
          <w:rFonts w:ascii="GHEA Grapalat" w:hAnsi="GHEA Grapalat"/>
          <w:bCs/>
          <w:sz w:val="24"/>
          <w:szCs w:val="24"/>
          <w:lang w:val="hy-AM"/>
        </w:rPr>
        <w:t>ներմուծման թույլատրելի ծավալի</w:t>
      </w:r>
      <w:r w:rsidR="005E34E7">
        <w:rPr>
          <w:rFonts w:ascii="GHEA Grapalat" w:hAnsi="GHEA Grapalat"/>
          <w:bCs/>
          <w:sz w:val="24"/>
          <w:szCs w:val="24"/>
          <w:lang w:val="hy-AM"/>
        </w:rPr>
        <w:t xml:space="preserve"> բաշխման նոր փուլ՝ այլ </w:t>
      </w:r>
      <w:r w:rsidR="005E34E7" w:rsidRPr="00B770AE">
        <w:rPr>
          <w:rFonts w:ascii="GHEA Grapalat" w:hAnsi="GHEA Grapalat"/>
          <w:bCs/>
          <w:sz w:val="24"/>
          <w:szCs w:val="24"/>
          <w:lang w:val="hy-AM"/>
        </w:rPr>
        <w:t>տնտեսվարող</w:t>
      </w:r>
      <w:r w:rsidR="005E34E7">
        <w:rPr>
          <w:rFonts w:ascii="GHEA Grapalat" w:hAnsi="GHEA Grapalat"/>
          <w:bCs/>
          <w:sz w:val="24"/>
          <w:szCs w:val="24"/>
          <w:lang w:val="hy-AM"/>
        </w:rPr>
        <w:t>ների միջև առկա մն</w:t>
      </w:r>
      <w:r w:rsidR="001C4D52">
        <w:rPr>
          <w:rFonts w:ascii="GHEA Grapalat" w:hAnsi="GHEA Grapalat"/>
          <w:bCs/>
          <w:sz w:val="24"/>
          <w:szCs w:val="24"/>
          <w:lang w:val="hy-AM"/>
        </w:rPr>
        <w:t>ա</w:t>
      </w:r>
      <w:r w:rsidR="005E34E7">
        <w:rPr>
          <w:rFonts w:ascii="GHEA Grapalat" w:hAnsi="GHEA Grapalat"/>
          <w:bCs/>
          <w:sz w:val="24"/>
          <w:szCs w:val="24"/>
          <w:lang w:val="hy-AM"/>
        </w:rPr>
        <w:t>ցորդի ծավալը բաշխելու նպատակով։</w:t>
      </w:r>
    </w:p>
    <w:p w14:paraId="13BEF4CA" w14:textId="77777777" w:rsidR="00AC19AD" w:rsidRPr="00614E9F" w:rsidRDefault="00AC19AD" w:rsidP="00E539C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FC195E4" w14:textId="77777777" w:rsidR="00AC19AD" w:rsidRPr="00614E9F" w:rsidRDefault="00AC19AD" w:rsidP="00E539C9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0A0219F" w14:textId="77777777" w:rsidR="00AC19AD" w:rsidRPr="00614E9F" w:rsidRDefault="00AC19AD" w:rsidP="00E539C9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2E9C448F" w14:textId="5338EE78" w:rsidR="005E34E7" w:rsidRPr="005E34E7" w:rsidRDefault="005E34E7" w:rsidP="005E34E7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E34E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202</w:t>
      </w: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5E34E7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դեկտեմբերի</w:t>
      </w:r>
      <w:r w:rsidRPr="005E34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Pr="005E34E7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2036</w:t>
      </w:r>
      <w:r w:rsidRPr="005E34E7">
        <w:rPr>
          <w:rFonts w:ascii="GHEA Grapalat" w:hAnsi="GHEA Grapalat"/>
          <w:color w:val="000000"/>
          <w:sz w:val="24"/>
          <w:szCs w:val="24"/>
          <w:lang w:val="hy-AM"/>
        </w:rPr>
        <w:t>-Ն որոշման պահանջների ապահովում, գործարար միջավայրի բարելավում:</w:t>
      </w:r>
    </w:p>
    <w:p w14:paraId="1E1C090B" w14:textId="77777777" w:rsidR="00AC19AD" w:rsidRPr="00614E9F" w:rsidRDefault="00AC19AD" w:rsidP="00E539C9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614E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3493A511" w14:textId="635F33F2" w:rsidR="00AC19AD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B60856F" w14:textId="77777777" w:rsidR="008A2EC3" w:rsidRPr="008A2EC3" w:rsidRDefault="008A2EC3" w:rsidP="008A2EC3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A2EC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 </w:t>
      </w:r>
    </w:p>
    <w:p w14:paraId="5658A3EE" w14:textId="3510556D" w:rsidR="008A2EC3" w:rsidRPr="00614E9F" w:rsidRDefault="008A2EC3" w:rsidP="008A2EC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A2EC3">
        <w:rPr>
          <w:rFonts w:ascii="GHEA Grapalat" w:hAnsi="GHEA Grapalat"/>
          <w:sz w:val="24"/>
          <w:szCs w:val="24"/>
          <w:lang w:val="hy-AM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առավարության 2021-2026թթ. Ծրագրի «2. Տնտեսություն» բաժնի դրույթներից, մասնավորապես՝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>առավարությունը նախատեսում է Եվրասիական տնտեսական միության հետ առևտր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տնտեսական համագործակցության ընդլայնում և խորացում բոլոր հնարավոր ոլորտներով և ուղղություններով։ Հայաստանի Հանրապետության համար եվրասիական </w:t>
      </w:r>
      <w:r w:rsidR="00840EB0">
        <w:rPr>
          <w:rFonts w:ascii="GHEA Grapalat" w:hAnsi="GHEA Grapalat"/>
          <w:sz w:val="24"/>
          <w:szCs w:val="24"/>
          <w:lang w:val="hy-AM"/>
        </w:rPr>
        <w:t>ինտեգրումն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 առաջնային ուղղություններից մեկն է, որը թույլ է տալիս բարելավել բիզնեսի համար տնտեսվարման պայմանները, ընդլայնել </w:t>
      </w:r>
      <w:r w:rsidR="00840EB0">
        <w:rPr>
          <w:rFonts w:ascii="GHEA Grapalat" w:hAnsi="GHEA Grapalat"/>
          <w:sz w:val="24"/>
          <w:szCs w:val="24"/>
          <w:lang w:val="hy-AM"/>
        </w:rPr>
        <w:t>համագործակցությունն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 ավանդական գործընկերների հետ և ստեղծել նոր հարթակներ տնտեսական ներուժի իրագործման համար:                                                  </w:t>
      </w:r>
    </w:p>
    <w:p w14:paraId="1CD46DCF" w14:textId="3949A937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7</w:t>
      </w:r>
      <w:r w:rsidRPr="00614E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C8566F5" w14:textId="77777777" w:rsidR="00AC19AD" w:rsidRPr="00614E9F" w:rsidRDefault="00AC19AD" w:rsidP="00E539C9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4CB86CA" w14:textId="28B3E7AB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8․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EFEDFA7" w14:textId="77777777" w:rsidR="00AC19AD" w:rsidRPr="00DE29B8" w:rsidRDefault="00AC19AD" w:rsidP="00E539C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 xml:space="preserve">       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65DB68A" w14:textId="1B07C28A" w:rsidR="005C225B" w:rsidRPr="008E6A2B" w:rsidRDefault="005C225B" w:rsidP="00E539C9">
      <w:pPr>
        <w:spacing w:after="0" w:line="360" w:lineRule="auto"/>
        <w:ind w:left="720"/>
        <w:contextualSpacing/>
        <w:rPr>
          <w:rFonts w:ascii="GHEA Grapalat" w:hAnsi="GHEA Grapalat"/>
          <w:iCs/>
          <w:sz w:val="24"/>
          <w:szCs w:val="24"/>
          <w:lang w:val="hy-AM"/>
        </w:rPr>
      </w:pPr>
    </w:p>
    <w:sectPr w:rsidR="005C225B" w:rsidRPr="008E6A2B" w:rsidSect="007415F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77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077566"/>
    <w:rsid w:val="001C4D52"/>
    <w:rsid w:val="001C69E5"/>
    <w:rsid w:val="00202CC7"/>
    <w:rsid w:val="00211FA6"/>
    <w:rsid w:val="00216D84"/>
    <w:rsid w:val="00235A96"/>
    <w:rsid w:val="002428A7"/>
    <w:rsid w:val="002C27E3"/>
    <w:rsid w:val="00327560"/>
    <w:rsid w:val="00362692"/>
    <w:rsid w:val="00383CEA"/>
    <w:rsid w:val="003B6171"/>
    <w:rsid w:val="003E3FB9"/>
    <w:rsid w:val="004867CE"/>
    <w:rsid w:val="005A6DA3"/>
    <w:rsid w:val="005C225B"/>
    <w:rsid w:val="005E34E7"/>
    <w:rsid w:val="00613D77"/>
    <w:rsid w:val="00614E9F"/>
    <w:rsid w:val="007415F3"/>
    <w:rsid w:val="00751B96"/>
    <w:rsid w:val="00770747"/>
    <w:rsid w:val="00807624"/>
    <w:rsid w:val="00840EB0"/>
    <w:rsid w:val="00883DDD"/>
    <w:rsid w:val="008871DD"/>
    <w:rsid w:val="008A2EC3"/>
    <w:rsid w:val="008A50D1"/>
    <w:rsid w:val="008F09D4"/>
    <w:rsid w:val="009B537B"/>
    <w:rsid w:val="00A336D8"/>
    <w:rsid w:val="00A94939"/>
    <w:rsid w:val="00AC19AD"/>
    <w:rsid w:val="00AF600E"/>
    <w:rsid w:val="00B770AE"/>
    <w:rsid w:val="00C230EC"/>
    <w:rsid w:val="00C33AA0"/>
    <w:rsid w:val="00C9615F"/>
    <w:rsid w:val="00DB6120"/>
    <w:rsid w:val="00DC153B"/>
    <w:rsid w:val="00DF653A"/>
    <w:rsid w:val="00E50DD5"/>
    <w:rsid w:val="00E539C9"/>
    <w:rsid w:val="00F147BC"/>
    <w:rsid w:val="00F942B3"/>
    <w:rsid w:val="00FA35C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https://mul2-mineconomy.gov.am/tasks/804015/oneclick?token=78cf82463669cdaec393fb5aed8721bf</cp:keywords>
  <dc:description/>
  <cp:lastModifiedBy>Azgush A. Elazyan</cp:lastModifiedBy>
  <cp:revision>19</cp:revision>
  <cp:lastPrinted>2025-04-14T11:32:00Z</cp:lastPrinted>
  <dcterms:created xsi:type="dcterms:W3CDTF">2022-05-16T07:50:00Z</dcterms:created>
  <dcterms:modified xsi:type="dcterms:W3CDTF">2025-04-14T12:52:00Z</dcterms:modified>
</cp:coreProperties>
</file>