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6377" w14:textId="77777777" w:rsidR="00237DD1" w:rsidRPr="000904FC" w:rsidRDefault="00237DD1" w:rsidP="00237DD1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color w:val="000000"/>
          <w:kern w:val="0"/>
          <w:sz w:val="18"/>
          <w:szCs w:val="18"/>
          <w14:ligatures w14:val="none"/>
        </w:rPr>
      </w:pPr>
      <w:bookmarkStart w:id="0" w:name="_GoBack"/>
      <w:bookmarkEnd w:id="0"/>
      <w:r w:rsidRPr="000904FC">
        <w:rPr>
          <w:rFonts w:ascii="GHEA Grapalat" w:eastAsia="Times New Roman" w:hAnsi="GHEA Grapalat" w:cs="Times New Roman"/>
          <w:b/>
          <w:color w:val="000000"/>
          <w:kern w:val="0"/>
          <w:sz w:val="18"/>
          <w:szCs w:val="18"/>
          <w14:ligatures w14:val="none"/>
        </w:rPr>
        <w:t xml:space="preserve">Հավելված </w:t>
      </w:r>
    </w:p>
    <w:p w14:paraId="55E09728" w14:textId="77777777" w:rsidR="00237DD1" w:rsidRPr="000904FC" w:rsidRDefault="00237DD1" w:rsidP="00237DD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kern w:val="0"/>
          <w:sz w:val="18"/>
          <w:szCs w:val="18"/>
          <w14:ligatures w14:val="none"/>
        </w:rPr>
      </w:pPr>
      <w:r w:rsidRPr="000904FC"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  <w:t>ՀՀ կառավարության 2025</w:t>
      </w:r>
      <w:r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  <w:t>թվականի</w:t>
      </w:r>
    </w:p>
    <w:p w14:paraId="2413CBF3" w14:textId="77777777" w:rsidR="00237DD1" w:rsidRPr="000904FC" w:rsidRDefault="00237DD1" w:rsidP="00237DD1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</w:pPr>
      <w:r w:rsidRPr="000904FC"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  <w:t>______________</w:t>
      </w:r>
      <w:r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  <w:t xml:space="preserve"> -ի</w:t>
      </w:r>
      <w:r w:rsidRPr="000904FC"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  <w:t xml:space="preserve"> N</w:t>
      </w:r>
      <w:r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b/>
          <w:bCs/>
          <w:kern w:val="0"/>
          <w:sz w:val="18"/>
          <w:szCs w:val="18"/>
          <w14:ligatures w14:val="none"/>
        </w:rPr>
        <w:t>-Ն որոշման</w:t>
      </w:r>
    </w:p>
    <w:p w14:paraId="2683EAC4" w14:textId="77777777" w:rsidR="00237DD1" w:rsidRPr="000904FC" w:rsidRDefault="00237DD1" w:rsidP="00237DD1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kern w:val="0"/>
          <w:sz w:val="22"/>
          <w14:ligatures w14:val="none"/>
        </w:rPr>
      </w:pPr>
    </w:p>
    <w:p w14:paraId="2DD2319A" w14:textId="77777777" w:rsidR="00237DD1" w:rsidRDefault="00237DD1" w:rsidP="00237DD1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3C5B6F6" w14:textId="77777777" w:rsidR="00237DD1" w:rsidRPr="000904FC" w:rsidRDefault="00237DD1" w:rsidP="00237DD1">
      <w:pPr>
        <w:shd w:val="clear" w:color="auto" w:fill="FFFFFF"/>
        <w:spacing w:after="0"/>
        <w:ind w:firstLine="374"/>
        <w:jc w:val="center"/>
        <w:rPr>
          <w:rFonts w:ascii="GHEA Grapalat" w:hAnsi="GHEA Grapalat"/>
          <w:b/>
          <w:bCs/>
          <w:sz w:val="24"/>
          <w:szCs w:val="24"/>
        </w:rPr>
      </w:pPr>
      <w:r w:rsidRPr="000904FC">
        <w:rPr>
          <w:rFonts w:ascii="GHEA Grapalat" w:hAnsi="GHEA Grapalat"/>
          <w:b/>
          <w:bCs/>
          <w:sz w:val="24"/>
          <w:szCs w:val="24"/>
        </w:rPr>
        <w:t>ԿԱՐԳ</w:t>
      </w:r>
    </w:p>
    <w:p w14:paraId="0308E94B" w14:textId="77777777" w:rsidR="00237DD1" w:rsidRPr="000904FC" w:rsidRDefault="00237DD1" w:rsidP="00237DD1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ՊԱՏՇԱՃ ԴԵՂԱԶԳՈՆՈՒԹՅԱՆ ԳՈՐԾՈՒՆԵՈՒԹՅԱՆ ԿԱՆՈՆՆԵՐԻՆ ՀԱՄԱՊԱՏԱՍԽԱՆՈՒԹՅԱՆ ՄԱՍՆԱԳԻՏԱԿԱՆ ԴԻՏԱՐԿՄԱՆ ԵՎ ԱՅԼ ԵՐԿՐՆԵՐԻ ԻՐԱՎԱՍՈՒ ՄԱՐՄԻՆՆԵՐԻ ԴԻՏԱՐԿՄԱՆ ՀԱՇՎԵՏՎՈՒԹՅՈՒՆՆԵՐԻ ՃԱՆԱՉՄԱՆ</w:t>
      </w:r>
    </w:p>
    <w:p w14:paraId="07EA8158" w14:textId="77777777" w:rsidR="00237DD1" w:rsidRPr="000904FC" w:rsidRDefault="00237DD1" w:rsidP="00237DD1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4A70CF0F" w14:textId="77777777" w:rsidR="00237DD1" w:rsidRPr="000904FC" w:rsidRDefault="00237DD1" w:rsidP="00237DD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14:ligatures w14:val="none"/>
        </w:rPr>
      </w:pP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14:ligatures w14:val="none"/>
        </w:rPr>
        <w:t>I. ԸՆԴՀԱՆՈՒՐ ԴՐՈՒՅԹՆԵՐ</w:t>
      </w:r>
    </w:p>
    <w:p w14:paraId="64C444DC" w14:textId="77777777" w:rsidR="00237DD1" w:rsidRPr="000904FC" w:rsidRDefault="00237DD1" w:rsidP="00237DD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14:ligatures w14:val="none"/>
        </w:rPr>
      </w:pPr>
      <w:r w:rsidRPr="000904F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58929558" w14:textId="77777777" w:rsidR="00237DD1" w:rsidRPr="000904FC" w:rsidRDefault="00237DD1" w:rsidP="00237DD1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Սույն կարգով կարգավորվում են «Դեղերի մասին» օրենքի (այսուհետ՝ Օրենք) համաձայն գրանցված դեղերի պատշաճ դեղազգոնության գործունեության կանոններին համապատասխանության մասնագիտական դիտարկման (այսուհետ` դիտարկում) հետ կապված հարաբերությունները: Եվրասիական տնտեսական միության շրջանակներում գրանցված դեղերի պատշաճ դեղազգոնության գործունեության կանոններին համապատասխանության մասնագիտական դիտարկումն իրականացվում է Եվրասիական տնտեսական հանձնաժողովի խորհրդի 2016 թվականի նոյեմբերի 3-ի N 83 որոշմամբ հաստատված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դեղագործական դիտարկումների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իրականացման կանոնների համաձայն:</w:t>
      </w:r>
    </w:p>
    <w:p w14:paraId="0A78409E" w14:textId="77777777" w:rsidR="00237DD1" w:rsidRPr="000904FC" w:rsidRDefault="00237DD1" w:rsidP="00237DD1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Սույն կարգում օգտագործվող հասկացությունները կիրառվում են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Օրենքի 17-րդ հոդվածի 2-րդ մասի համաձայն </w:t>
      </w:r>
      <w:r w:rsidRPr="00724D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առողջապահության բնագավառի պետական կառավարման լիազոր </w:t>
      </w:r>
      <w:r w:rsidRPr="000A7E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</w:t>
      </w:r>
      <w:r w:rsidRPr="00724D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724D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(այսուհետ՝ լիազոր մարմին)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սահմանած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Պատշաճ դեղազգոնության գործունեության»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(այսուհետ՝ ՊԴԳ) կանոններ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իմաստով:</w:t>
      </w:r>
    </w:p>
    <w:p w14:paraId="4253933D" w14:textId="77777777" w:rsidR="00237DD1" w:rsidRPr="000904FC" w:rsidRDefault="00237DD1" w:rsidP="00237DD1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Դիտարկումն իրականացվում է գ</w:t>
      </w:r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րանցման հավաստագրի իրավատիրոջ (այսուհետ՝ հայտատու) դեղազգոնության համակարգի ՊԴԳ կանոններին համապատասխանության գնահատման նպատակով՝ որակավորված անձի կամ պատասխանատու անձի (ներառյալ` պայմանագրային կարգով աշխատանքներ իրականացնողների) գործունեության իրականացման վայրում՝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ՊԴԳ</w:t>
      </w:r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կանոններին համապատասխան որոշված պլանային կամ արտապլանային կարգով:</w:t>
      </w:r>
    </w:p>
    <w:p w14:paraId="1B445A96" w14:textId="77777777" w:rsidR="00237DD1" w:rsidRPr="000904FC" w:rsidRDefault="00237DD1" w:rsidP="00237DD1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Դիտարկումն իրականացնում է Հայաստանի Հանրապետության կառավարության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2024 թվականի հուլիսի 18-ի </w:t>
      </w:r>
      <w:r w:rsidRPr="00724DC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N 1122-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Ն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որոշմամբ սահմանված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`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24DC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դեղերի շրջանառության պետական կարգավորման ոլորտում</w:t>
      </w:r>
      <w:r w:rsidRPr="00724DCE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փորձագիտական կազմակերպությունը (այսուհետ՝ կազմակերպություն):</w:t>
      </w:r>
    </w:p>
    <w:p w14:paraId="2853F4A6" w14:textId="77777777" w:rsidR="00237DD1" w:rsidRPr="000904FC" w:rsidRDefault="00237DD1" w:rsidP="00237DD1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Դիտարկման հետ կապված ծախսերը (այդ թվո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ւմ՝ գործուղման), «Դեղերի մասին»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օրենքի 17-րդ հոդվածի 12-րդ մասի համաձայն, փոխհատուցում է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գրանցման հավաստագրի իրավատերը՝ կողմերի միջև օրենքով սահմանված կարգով կնքված պայմանագրի հիման վրա:</w:t>
      </w:r>
    </w:p>
    <w:p w14:paraId="37DD5B13" w14:textId="77777777" w:rsidR="00237DD1" w:rsidRPr="000904FC" w:rsidRDefault="00237DD1" w:rsidP="00237DD1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0904F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Դիտարկումն իրականացվում է կազմակերպության որակի կառավարման համակարգում հաստատված ընթացակարգերի համաձայն:</w:t>
      </w:r>
    </w:p>
    <w:p w14:paraId="41FBA86A" w14:textId="77777777" w:rsidR="00237DD1" w:rsidRPr="000904FC" w:rsidRDefault="00237DD1" w:rsidP="00237DD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6E78D368" w14:textId="77777777" w:rsidR="00237DD1" w:rsidRPr="000904FC" w:rsidRDefault="00237DD1" w:rsidP="00237DD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. ԴԻՏԱՐԿՄԱՆ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0904F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ԸՆԹԱՑԱԿԱՐԳԸ</w:t>
      </w:r>
    </w:p>
    <w:p w14:paraId="2C532203" w14:textId="77777777" w:rsidR="00237DD1" w:rsidRPr="000904FC" w:rsidRDefault="00237DD1" w:rsidP="00237DD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0C4C8FDB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pacing w:val="-4"/>
          <w:sz w:val="24"/>
          <w:szCs w:val="24"/>
          <w:lang w:val="hy-AM"/>
        </w:rPr>
        <w:t xml:space="preserve">Դիտարկման նախաձեռնման փուլում որոշվում է </w:t>
      </w:r>
      <w:r w:rsidRPr="00237DD1">
        <w:rPr>
          <w:rFonts w:ascii="GHEA Grapalat" w:hAnsi="GHEA Grapalat"/>
          <w:sz w:val="24"/>
          <w:szCs w:val="24"/>
          <w:lang w:val="hy-AM"/>
        </w:rPr>
        <w:t>դիտարկման օբյեկտը, կազմավորվում է դիտարկման խումբ, ուղարկվում է ծանուցում դիտարկման օբյեկտին դիտարկում անցկացնելու մասին, որոշվում է դիտարկման անցկացման ժամկետները և վայրը։</w:t>
      </w:r>
    </w:p>
    <w:p w14:paraId="703771F6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 xml:space="preserve">Պլանային դիտարկում նախաձեռնվելու դեպքում նախնական ծանուցումն ուղարկելու ժամանակահատվածը առնվազն 45 օրացուցային օր է՝ նախքան դիտարկում անցկացնելու պլանավորվող ամսաթիվը։ </w:t>
      </w:r>
    </w:p>
    <w:p w14:paraId="1A1BED6B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 xml:space="preserve">Արտապլանային դիտարկում նախաձեռնվելու դեպքում ծանուցումն ուղարկելու ժամանակահատվածը կարող է կրճատվել՝ հաշվի առնելով նախաձեռնման պատճառը և գրանցման հավաստագրի իրավատիրոջ կողմից դեղազգոնության մասով իր պարտականությունների ոչ պատշաճ կերպով կատարելու հետ կապված ռիսկը: </w:t>
      </w:r>
    </w:p>
    <w:p w14:paraId="3C6FEFDF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Բացառիկ դեպքերում դիտարկումը կարող է իրականացվել առանց նախնական ծանուցման, եթե պահանջվում է դիտարկում կատարել հանրային առողջության համար կարևոր ռիսկի կամ դեղազգոնության համակարգի անհապաղ գնահատման նպատակով, կամ այն դեպքերում, երբ ծանուցումը կարող է վտանգի տակ դնել դիտարկման նպատակների իրագործումը։</w:t>
      </w:r>
    </w:p>
    <w:p w14:paraId="2D521B39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 xml:space="preserve">Դիտարկում անցկացնելու մասին ծանուցման մեջ նշվում են գրանցման հավաստագրի իրավատիրոջ անվանումը, դիտարկման նպատակները և օբյեկտները (օրինակ՝ դեղազգոնության համակարգի ընդհանուր գնահատում կամ </w:t>
      </w:r>
      <w:r w:rsidRPr="00237DD1">
        <w:rPr>
          <w:rFonts w:ascii="GHEA Grapalat" w:hAnsi="GHEA Grapalat"/>
          <w:sz w:val="24"/>
          <w:szCs w:val="24"/>
          <w:lang w:val="hy-AM"/>
        </w:rPr>
        <w:lastRenderedPageBreak/>
        <w:t>որոշակի դեղերի մասով), դիտարկման տեսակը (պլանային կամ արտապլանային, այդ թվում՝ նախագրանցումային, հետգրանցումային, կրկնակի, հեռավար), դիտարկում կատարելու առաջարկվող վայրը:</w:t>
      </w:r>
    </w:p>
    <w:p w14:paraId="41EB320C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 xml:space="preserve">Դիտարկում անցկացնելու մասին գրավոր ծանուցումն ուղարկվում է գրանցման հավաստագրի իրավատիրոջ՝ դեղազգոնության մասով </w:t>
      </w:r>
      <w:r w:rsidRPr="00237D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որակավորված կամ պատասխանատու անձին</w:t>
      </w:r>
      <w:r w:rsidRPr="00237DD1">
        <w:rPr>
          <w:rFonts w:ascii="GHEA Grapalat" w:hAnsi="GHEA Grapalat"/>
          <w:sz w:val="24"/>
          <w:szCs w:val="24"/>
          <w:lang w:val="hy-AM"/>
        </w:rPr>
        <w:t xml:space="preserve">՝ գրանցման հայտում ներկայացված կոնտակտային տվյալներին համապատասխան, այդ թվում՝ էլեկտրոնային փոստով կամ էլեկտրոնային համակարգի միջոցով։ Ծանուցման մեջ նշվում են պլանավորված վայրում դիտարկում իրականացնելու հնարավորության պարտադիր հաստատման, բոլոր պահանջվող փաստաթղթերի և տվյալների բազաների հասանելիության տրամադրման պայմանները և դիտարկում անցկացնելու պլանավորվող ժամկետը։ </w:t>
      </w:r>
    </w:p>
    <w:p w14:paraId="76EBD61D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Դիտարկման օբյեկտը կազմակերպություն է ուղարկում դիտարկում անցկացնելու համաձայնության գրավոր հաստատում և ծանուցման մեջ նշված ժամկետներում դիտարկում անցկացնելու դիմում։ Այն դեպքում, երբ դիտարկման օբյեկտը չի կարող կազմակերպությանն ընդունել առաջարկվող ժամկետում, կազմակերպությունը և դիտարկման օբյեկտը համաձայնեցնում են դիտարկման ընդունելի ժամկետները՝ հաշվի առնելով դիտարկում նախաձեռնելու գործոնները և դիտարկում կատարելու ժամկետի հետաձգման հետ կապված ռիսկերը։</w:t>
      </w:r>
    </w:p>
    <w:p w14:paraId="50821BFB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 xml:space="preserve">Նախքան դիտարկում անցկացնելու պլանավորված ամսաթիվը՝ առնվազն 30 օրացուցային օրվա ընթացքում, կազմակերպությունը դիտարկվող օբյեկտին գրավոր հարցում է ուղարկում դիտարկման նախապատրաստման համար անհրաժեշտ տեղեկատվության ներկայացման վերաբերյալ՝ ՊԴԳ կանոններին համապատասխան։ Անհրաժեշտ փաստաթղթերի ցանկը որոշվում է ըստ դիտարկման տեսակի (դիտարկումն ամբողջությամբ կամ առանձին դեղերի մասով): Բոլոր դեպքերում պահանջվում է ներկայացնել դեղազգոնության համակարգի մաստեր-ֆայլի գործող տարբերակը: Բացի այդ, կազմակերպությունը իրավունք ունի պահանջելու դեղազգոնության համակարգի գործունեության պարամետրերը և գնահատման արդյունքները հաստատող կամ դեղազգոնության համակարգի աշխատանքի հատուկ ասպեկտները բնութագրող փաստաթղթեր՝ նշելով հաշվետու ժամանակահատվածները։ Հարցման մեջ նշվում է այն ժամկետը, որի ընթացքում պետք է ներկայացվեն պահանջվող փաստաթղթերը և դրանք ներկայացնելու </w:t>
      </w:r>
      <w:r w:rsidRPr="00237DD1">
        <w:rPr>
          <w:rFonts w:ascii="GHEA Grapalat" w:hAnsi="GHEA Grapalat"/>
          <w:sz w:val="24"/>
          <w:szCs w:val="24"/>
          <w:lang w:val="hy-AM"/>
        </w:rPr>
        <w:lastRenderedPageBreak/>
        <w:t>եղանակը։</w:t>
      </w:r>
    </w:p>
    <w:p w14:paraId="2A78595B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color w:val="000000"/>
          <w:sz w:val="24"/>
          <w:szCs w:val="24"/>
          <w:lang w:val="hy-AM"/>
        </w:rPr>
        <w:t>Դիտարկումն սկսվում է, երբ դիտարկման նպատակով հայտատուն դիմում է կազմակերպություն՝ ներկայացնելով սույն կարգով սահմանված և դիտարկման համար վճարման փաստը հավաստող փաստաթղթերի տեսաներածված պատճենները՝ (ՊԻԴԻԷՖ (PDF) ձևաչափով ֆայլերի տեսքով)՝ հայերենով և (կամ) ռուսերենով և (կամ) անգլերենով՝ էլեկտրոնային հասցեով և (կամ) էլեկտրոնային համակարգի միջոցով:</w:t>
      </w:r>
    </w:p>
    <w:p w14:paraId="6608C47C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color w:val="000000"/>
          <w:sz w:val="24"/>
          <w:szCs w:val="24"/>
          <w:lang w:val="hy-AM"/>
        </w:rPr>
        <w:t>Նախապատրաստման փուլում կատարվում է ներկայացված փաստաթղթերի փորձաքննություն՝ առավելագույնը 15 աշխատանքային օրվա ընթացքում:</w:t>
      </w:r>
    </w:p>
    <w:p w14:paraId="7966AD5F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color w:val="000000"/>
          <w:sz w:val="24"/>
          <w:szCs w:val="24"/>
          <w:lang w:val="hy-AM"/>
        </w:rPr>
        <w:t>Փաստաթղթերի փորձաքննության ընթացքում կարող են պահանջվել լրացուցիչ տվյալներ, որոնք ներկայացնելու ժամանակահատվածը փորձաքննության համար սահմանված ժամկետում չի ներառվում:</w:t>
      </w:r>
    </w:p>
    <w:p w14:paraId="73161E07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color w:val="000000"/>
          <w:sz w:val="24"/>
          <w:szCs w:val="24"/>
          <w:lang w:val="hy-AM"/>
        </w:rPr>
        <w:t xml:space="preserve">Նախապատրաստման փուլում որոշվում է դիտարկման ծավալը (դիտարկման ենթակա դեղազգոնության համակարգի բաղադրիչները)՝ դիտարկման տեսակի և նպատակների, գրանցման հավաստագրի իրավատիրոջ դեղազգոնության համակարգը բնութագրող փաստաթղթերի նախնական գնահատման արդյունքների հիման վրա՝ ՊԴԳ կանոնների 168-171-րդ կետերին համապատասխան: </w:t>
      </w:r>
    </w:p>
    <w:p w14:paraId="328AF0F3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r w:rsidRPr="00237DD1">
        <w:rPr>
          <w:rFonts w:ascii="GHEA Grapalat" w:hAnsi="GHEA Grapalat"/>
          <w:sz w:val="24"/>
          <w:szCs w:val="24"/>
          <w:lang w:val="hy-AM"/>
        </w:rPr>
        <w:t xml:space="preserve">Նախապատրաստման փուլում մշակվում է նաև գրանցման հավաստագրի իրավատիրոջ դեղազգոնության համակարգի դիտարկման ծրագիր՝ ՊԴԳ կանոնների պահանջներին համապատասխանության առումով (այսուհետ՝ դիտարկման ծրագիր)։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ծրագիրը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ներառում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հետևյալ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բաժինները</w:t>
      </w:r>
      <w:proofErr w:type="spellEnd"/>
      <w:r w:rsidRPr="000904FC">
        <w:rPr>
          <w:rFonts w:ascii="GHEA Grapalat" w:hAnsi="GHEA Grapalat"/>
          <w:sz w:val="24"/>
          <w:szCs w:val="24"/>
        </w:rPr>
        <w:t>՝</w:t>
      </w:r>
    </w:p>
    <w:p w14:paraId="174A5E3D" w14:textId="77777777" w:rsidR="00237DD1" w:rsidRPr="000904FC" w:rsidRDefault="00237DD1" w:rsidP="00237DD1">
      <w:pPr>
        <w:pStyle w:val="Bodytext20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360" w:lineRule="auto"/>
        <w:ind w:left="851" w:right="-8" w:firstLine="142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նպատակները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տեսակը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ծավալը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1B0E1A56" w14:textId="77777777" w:rsidR="00237DD1" w:rsidRPr="000904FC" w:rsidRDefault="00237DD1" w:rsidP="00237DD1">
      <w:pPr>
        <w:pStyle w:val="Bodytext20"/>
        <w:numPr>
          <w:ilvl w:val="0"/>
          <w:numId w:val="31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փորձագետների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միջև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գործառույթների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սահմանումը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պարտականությունների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բաշխումը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0715165C" w14:textId="77777777" w:rsidR="00237DD1" w:rsidRPr="000904FC" w:rsidRDefault="00237DD1" w:rsidP="00237DD1">
      <w:pPr>
        <w:pStyle w:val="Bodytext20"/>
        <w:numPr>
          <w:ilvl w:val="0"/>
          <w:numId w:val="31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ամսաթիվը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վայրը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4F0774FA" w14:textId="77777777" w:rsidR="00237DD1" w:rsidRPr="000904FC" w:rsidRDefault="00237DD1" w:rsidP="00237DD1">
      <w:pPr>
        <w:pStyle w:val="Bodytext20"/>
        <w:numPr>
          <w:ilvl w:val="0"/>
          <w:numId w:val="31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pacing w:val="4"/>
          <w:sz w:val="24"/>
          <w:szCs w:val="24"/>
        </w:rPr>
        <w:t>այն</w:t>
      </w:r>
      <w:proofErr w:type="spellEnd"/>
      <w:r w:rsidRPr="000904FC">
        <w:rPr>
          <w:rFonts w:ascii="GHEA Grapalat" w:hAnsi="GHEA Grapalat"/>
          <w:spacing w:val="4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pacing w:val="4"/>
          <w:sz w:val="24"/>
          <w:szCs w:val="24"/>
        </w:rPr>
        <w:t>ֆունկցիոնալ</w:t>
      </w:r>
      <w:proofErr w:type="spellEnd"/>
      <w:r w:rsidRPr="000904FC">
        <w:rPr>
          <w:rFonts w:ascii="GHEA Grapalat" w:hAnsi="GHEA Grapalat"/>
          <w:spacing w:val="4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pacing w:val="4"/>
          <w:sz w:val="24"/>
          <w:szCs w:val="24"/>
        </w:rPr>
        <w:t>ստորաբաժանումների</w:t>
      </w:r>
      <w:proofErr w:type="spellEnd"/>
      <w:r w:rsidRPr="000904FC">
        <w:rPr>
          <w:rFonts w:ascii="GHEA Grapalat" w:hAnsi="GHEA Grapalat"/>
          <w:spacing w:val="4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pacing w:val="4"/>
          <w:sz w:val="24"/>
          <w:szCs w:val="24"/>
        </w:rPr>
        <w:t>նշումը</w:t>
      </w:r>
      <w:proofErr w:type="spellEnd"/>
      <w:r w:rsidRPr="000904FC">
        <w:rPr>
          <w:rFonts w:ascii="GHEA Grapalat" w:hAnsi="GHEA Grapalat"/>
          <w:spacing w:val="4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pacing w:val="4"/>
          <w:sz w:val="24"/>
          <w:szCs w:val="24"/>
        </w:rPr>
        <w:t>որոնցում</w:t>
      </w:r>
      <w:proofErr w:type="spellEnd"/>
      <w:r w:rsidRPr="000904FC">
        <w:rPr>
          <w:rFonts w:ascii="GHEA Grapalat" w:hAnsi="GHEA Grapalat"/>
          <w:spacing w:val="4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pacing w:val="4"/>
          <w:sz w:val="24"/>
          <w:szCs w:val="24"/>
        </w:rPr>
        <w:t>կատարվելու</w:t>
      </w:r>
      <w:proofErr w:type="spellEnd"/>
      <w:r w:rsidRPr="000904FC">
        <w:rPr>
          <w:rFonts w:ascii="GHEA Grapalat" w:hAnsi="GHEA Grapalat"/>
          <w:spacing w:val="4"/>
          <w:sz w:val="24"/>
          <w:szCs w:val="24"/>
        </w:rPr>
        <w:t xml:space="preserve"> է</w:t>
      </w:r>
      <w:r>
        <w:rPr>
          <w:rFonts w:ascii="GHEA Grapalat" w:hAnsi="GHEA Grapalat"/>
          <w:spacing w:val="4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6C1F8571" w14:textId="77777777" w:rsidR="00237DD1" w:rsidRPr="000904FC" w:rsidRDefault="00237DD1" w:rsidP="00237DD1">
      <w:pPr>
        <w:pStyle w:val="Bodytext20"/>
        <w:numPr>
          <w:ilvl w:val="0"/>
          <w:numId w:val="31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այն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թվային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միջոցների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գործիքների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ցանկը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որոնց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պետք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ապահովվի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հասանելիությունը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որոնք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գնահատվելու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ընթացքում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104F2C1A" w14:textId="77777777" w:rsidR="00237DD1" w:rsidRPr="000904FC" w:rsidRDefault="00237DD1" w:rsidP="00237DD1">
      <w:pPr>
        <w:pStyle w:val="Bodytext20"/>
        <w:numPr>
          <w:ilvl w:val="0"/>
          <w:numId w:val="31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առանձին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բաղադրիչների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lastRenderedPageBreak/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կատարելու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պլանավորված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ժամանակը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485B9239" w14:textId="77777777" w:rsidR="00237DD1" w:rsidRPr="000904FC" w:rsidRDefault="00237DD1" w:rsidP="00237DD1">
      <w:pPr>
        <w:pStyle w:val="Bodytext20"/>
        <w:numPr>
          <w:ilvl w:val="0"/>
          <w:numId w:val="31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եզրափակիչ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դրույթներ</w:t>
      </w:r>
      <w:proofErr w:type="spellEnd"/>
      <w:r w:rsidRPr="000904FC">
        <w:rPr>
          <w:rFonts w:ascii="GHEA Grapalat" w:hAnsi="GHEA Grapalat"/>
          <w:sz w:val="24"/>
          <w:szCs w:val="24"/>
        </w:rPr>
        <w:t>։</w:t>
      </w:r>
    </w:p>
    <w:p w14:paraId="7C05780F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ծրագիրը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գնահատման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անհրաժեշտ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ցանկը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գրավոր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ուղարկվում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գրանցման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հավաստագրի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իրավատիրոջ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որակավորված</w:t>
      </w:r>
      <w:proofErr w:type="spellEnd"/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պատասխանատու</w:t>
      </w:r>
      <w:proofErr w:type="spellEnd"/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04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նախքան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սկսվելը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առնվազն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10</w:t>
      </w:r>
      <w:r w:rsidRPr="000904FC">
        <w:rPr>
          <w:rFonts w:ascii="Calibri" w:hAnsi="Calibri" w:cs="Calibri"/>
          <w:sz w:val="24"/>
          <w:szCs w:val="24"/>
        </w:rPr>
        <w:t> </w:t>
      </w:r>
      <w:proofErr w:type="spellStart"/>
      <w:r w:rsidRPr="000904F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օրվա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ընթացքում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անձնակազմի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հասանելիությունն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նպատակով</w:t>
      </w:r>
      <w:proofErr w:type="spellEnd"/>
      <w:r w:rsidRPr="000904FC">
        <w:rPr>
          <w:rFonts w:ascii="GHEA Grapalat" w:hAnsi="GHEA Grapalat"/>
          <w:sz w:val="24"/>
          <w:szCs w:val="24"/>
        </w:rPr>
        <w:t>։</w:t>
      </w:r>
    </w:p>
    <w:p w14:paraId="78DBD21B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Դիտարկման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անցկացման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ընտրված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վայրը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օպտիմալ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դիտարկման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Pr="00724DCE">
        <w:rPr>
          <w:rFonts w:ascii="GHEA Grapalat" w:hAnsi="GHEA Grapalat"/>
          <w:sz w:val="24"/>
          <w:szCs w:val="24"/>
        </w:rPr>
        <w:t>:</w:t>
      </w:r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Այն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դեպքում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երբ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անհրաժեշտ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փոխել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պլանավորված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վայրը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ծրագրում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ներառել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լրացուցիչ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վայր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նոր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ծանուցումը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պետք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նախապատրաստվի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ուղարկվի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օբյեկտին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այդ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վայրում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պլանավորվող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ամսաթվից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առնվազն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45 </w:t>
      </w:r>
      <w:proofErr w:type="spellStart"/>
      <w:r w:rsidRPr="000904FC">
        <w:rPr>
          <w:rFonts w:ascii="GHEA Grapalat" w:hAnsi="GHEA Grapalat"/>
          <w:sz w:val="24"/>
          <w:szCs w:val="24"/>
        </w:rPr>
        <w:t>օրացուցային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առաջ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</w:t>
      </w:r>
      <w:proofErr w:type="spellEnd"/>
      <w:r w:rsidRPr="000904FC">
        <w:rPr>
          <w:rFonts w:ascii="GHEA Grapalat" w:hAnsi="GHEA Grapalat"/>
          <w:sz w:val="24"/>
          <w:szCs w:val="24"/>
        </w:rPr>
        <w:t>։</w:t>
      </w:r>
    </w:p>
    <w:p w14:paraId="24183CFD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Այն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դեպքում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երբ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անցկացնելիս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պլանավորվում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վայրից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դուրս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գտնվող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փորձագետների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գրանցման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հավաստագրի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իրավատիրոջ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անձնակազմի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հետ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հեռավար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փոխգործակցության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միջոցների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կիրառում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օբյեկտը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պետք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նախապես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տեղեկացվի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այդ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որոշման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904F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կազմակերպչական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միջոցառումներ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նախաձեռնելու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նպատակով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։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օբյեկտը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պետք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ներկայացնի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առկա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հաղորդակցության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նկարագրությունը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նման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հնարավորությունն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904FC">
        <w:rPr>
          <w:rFonts w:ascii="GHEA Grapalat" w:hAnsi="GHEA Grapalat"/>
          <w:sz w:val="24"/>
          <w:szCs w:val="24"/>
        </w:rPr>
        <w:t>Անհրաժեշտ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կատարել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հաղորդակցության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գնահատումը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ապահովել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միջոցների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համատեղելիությունը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որոնց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միջոցով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պետք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իրականացվի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փոխգործակցությունը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և, </w:t>
      </w:r>
      <w:proofErr w:type="spellStart"/>
      <w:r w:rsidRPr="000904FC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դեպքում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դրանց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նախնական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թեստավորումը</w:t>
      </w:r>
      <w:proofErr w:type="spellEnd"/>
      <w:r w:rsidRPr="000904FC">
        <w:rPr>
          <w:rFonts w:ascii="GHEA Grapalat" w:hAnsi="GHEA Grapalat"/>
          <w:sz w:val="24"/>
          <w:szCs w:val="24"/>
        </w:rPr>
        <w:t>։</w:t>
      </w:r>
    </w:p>
    <w:p w14:paraId="50E86E08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Գրանցման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հավաստագրի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իրավատիրոջ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առավելագույն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տևողությունը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մեկ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վայրում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5 </w:t>
      </w:r>
      <w:proofErr w:type="spellStart"/>
      <w:r w:rsidRPr="000904FC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է:</w:t>
      </w:r>
    </w:p>
    <w:p w14:paraId="7FD2049D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Դիտարկումն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ծրագրի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համաձայն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904FC"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ծրագիրը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լրացնել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ընթացքում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sz w:val="24"/>
          <w:szCs w:val="24"/>
        </w:rPr>
        <w:t>օրինակ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lastRenderedPageBreak/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նպատակների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իրագործումն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նպատակով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):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ծրագրում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կատարվող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բոլոր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ենթակա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փաստաթղթավորման</w:t>
      </w:r>
      <w:proofErr w:type="spellEnd"/>
      <w:r w:rsidRPr="000904FC">
        <w:rPr>
          <w:rFonts w:ascii="GHEA Grapalat" w:hAnsi="GHEA Grapalat"/>
          <w:sz w:val="24"/>
          <w:szCs w:val="24"/>
        </w:rPr>
        <w:t>:</w:t>
      </w:r>
    </w:p>
    <w:p w14:paraId="370807D4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Գրանցման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հավաստագրի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իրավատիրոջ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տվյալները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ընթացքում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ստացվում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համակարգչային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գնահատման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անձնակազմի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հետ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հարցազրույցների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ներքին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արտաքին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թղթակցության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sz w:val="24"/>
          <w:szCs w:val="24"/>
        </w:rPr>
        <w:t>օրինակ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ռեեստրների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ռեգիստրների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լիազորված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հետ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նամակագրության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այլնի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904FC">
        <w:rPr>
          <w:rFonts w:ascii="GHEA Grapalat" w:hAnsi="GHEA Grapalat"/>
          <w:sz w:val="24"/>
          <w:szCs w:val="24"/>
        </w:rPr>
        <w:t>գնահատման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միջոցով</w:t>
      </w:r>
      <w:proofErr w:type="spellEnd"/>
      <w:r w:rsidRPr="000904FC">
        <w:rPr>
          <w:rFonts w:ascii="GHEA Grapalat" w:hAnsi="GHEA Grapalat"/>
          <w:sz w:val="24"/>
          <w:szCs w:val="24"/>
        </w:rPr>
        <w:t>:</w:t>
      </w:r>
    </w:p>
    <w:p w14:paraId="4A210F2E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Գրառումների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հասանելիության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մերժումը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որոնք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փորձագետն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իրավունք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ունի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պահանջելու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գնահատման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նպատակով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փաստաթղթավորվում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մեջ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: </w:t>
      </w:r>
    </w:p>
    <w:p w14:paraId="71503645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ժամանակ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հավաքված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պետք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օգտագործվեն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անձնական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տվյալների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գաղտնի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ոլորտին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առնչվող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0904FC">
        <w:rPr>
          <w:rFonts w:ascii="GHEA Grapalat" w:hAnsi="GHEA Grapalat"/>
          <w:sz w:val="24"/>
          <w:szCs w:val="24"/>
        </w:rPr>
        <w:t>։</w:t>
      </w:r>
    </w:p>
    <w:p w14:paraId="2D3ED7C0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Նախքան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սկսելը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խմբի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օբյեկտի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հանդիպում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մեկնարկի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904FC">
        <w:rPr>
          <w:rFonts w:ascii="GHEA Grapalat" w:hAnsi="GHEA Grapalat"/>
          <w:sz w:val="24"/>
          <w:szCs w:val="24"/>
        </w:rPr>
        <w:t>Հանդիպման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նախագահը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խմբի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ղեկավար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փորձագետն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է: </w:t>
      </w:r>
      <w:proofErr w:type="spellStart"/>
      <w:r w:rsidRPr="000904FC">
        <w:rPr>
          <w:rFonts w:ascii="GHEA Grapalat" w:hAnsi="GHEA Grapalat"/>
          <w:sz w:val="24"/>
          <w:szCs w:val="24"/>
        </w:rPr>
        <w:t>Հանդիպման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նպատակն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է՝</w:t>
      </w:r>
    </w:p>
    <w:p w14:paraId="5EE79CC4" w14:textId="77777777" w:rsidR="00237DD1" w:rsidRPr="000904FC" w:rsidRDefault="00237DD1" w:rsidP="00237DD1">
      <w:pPr>
        <w:pStyle w:val="Bodytext20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</w:t>
      </w:r>
      <w:r w:rsidRPr="000904FC">
        <w:rPr>
          <w:rFonts w:ascii="GHEA Grapalat" w:hAnsi="GHEA Grapalat"/>
          <w:sz w:val="24"/>
          <w:szCs w:val="24"/>
        </w:rPr>
        <w:t>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խմբի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փորձագետներին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ներկայացնելը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7675F7FF" w14:textId="77777777" w:rsidR="00237DD1" w:rsidRPr="000904FC" w:rsidRDefault="00237DD1" w:rsidP="00237DD1">
      <w:pPr>
        <w:pStyle w:val="Bodytext20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անցկացումը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կարգավորող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պարզաբանումը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որին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նախաձեռնվել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26B7E7F3" w14:textId="77777777" w:rsidR="00237DD1" w:rsidRPr="000904FC" w:rsidRDefault="00237DD1" w:rsidP="00237DD1">
      <w:pPr>
        <w:pStyle w:val="Bodytext20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ծավալի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խնդիրների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ներկայացումը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784A27EC" w14:textId="77777777" w:rsidR="00237DD1" w:rsidRPr="000904FC" w:rsidRDefault="00237DD1" w:rsidP="00237DD1">
      <w:pPr>
        <w:pStyle w:val="Bodytext20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ծրագրում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ընդգրկված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լոգիստիկ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ասպեկտների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904FC">
        <w:rPr>
          <w:rFonts w:ascii="GHEA Grapalat" w:hAnsi="GHEA Grapalat"/>
          <w:sz w:val="24"/>
          <w:szCs w:val="24"/>
        </w:rPr>
        <w:t>ժամկետային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շրջանակների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կազմակերպական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այլ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հարցերի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քննարկումը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4FEA6FFC" w14:textId="77777777" w:rsidR="00237DD1" w:rsidRPr="000904FC" w:rsidRDefault="00237DD1" w:rsidP="00237DD1">
      <w:pPr>
        <w:pStyle w:val="Bodytext20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մասնակցող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գրանցման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հավաստագրի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իրավատիրոջ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անձնակազմին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ներկայացնելը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6FD6FC12" w14:textId="77777777" w:rsidR="00237DD1" w:rsidRPr="000904FC" w:rsidRDefault="00237DD1" w:rsidP="00237DD1">
      <w:pPr>
        <w:pStyle w:val="Bodytext20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օբյեկտի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կողմից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lastRenderedPageBreak/>
        <w:t>վերաբերյալ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ամփոփ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ակնարկ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ներկայացնելը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25914377" w14:textId="77777777" w:rsidR="00237DD1" w:rsidRPr="000904FC" w:rsidRDefault="00237DD1" w:rsidP="00237DD1">
      <w:pPr>
        <w:pStyle w:val="Bodytext20"/>
        <w:numPr>
          <w:ilvl w:val="0"/>
          <w:numId w:val="32"/>
        </w:numPr>
        <w:shd w:val="clear" w:color="auto" w:fill="auto"/>
        <w:tabs>
          <w:tab w:val="left" w:pos="1134"/>
        </w:tabs>
        <w:spacing w:before="0" w:after="0" w:line="360" w:lineRule="auto"/>
        <w:ind w:right="-8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հետ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կապված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որևէ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դժվարության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առկայության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գրանցման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հավաստագրի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իրավատիրոջ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հետ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քննարկելը</w:t>
      </w:r>
      <w:proofErr w:type="spellEnd"/>
      <w:r w:rsidRPr="000904FC">
        <w:rPr>
          <w:rFonts w:ascii="GHEA Grapalat" w:hAnsi="GHEA Grapalat"/>
          <w:sz w:val="24"/>
          <w:szCs w:val="24"/>
        </w:rPr>
        <w:t>։</w:t>
      </w:r>
    </w:p>
    <w:p w14:paraId="50D5E8B2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851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ընթացքում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բոլոր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ուսումնասիրությունները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արդյունքները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ենթակա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փաստաթղթավորման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904FC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դեպքում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պետք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կատարվեն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թերություններ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sz w:val="24"/>
          <w:szCs w:val="24"/>
        </w:rPr>
        <w:t>անհամապատասխանություններ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904FC">
        <w:rPr>
          <w:rFonts w:ascii="GHEA Grapalat" w:hAnsi="GHEA Grapalat"/>
          <w:sz w:val="24"/>
          <w:szCs w:val="24"/>
        </w:rPr>
        <w:t>պարունակող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ապացուցող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գրառումների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պատճենները</w:t>
      </w:r>
      <w:proofErr w:type="spellEnd"/>
      <w:r w:rsidRPr="000904FC">
        <w:rPr>
          <w:rFonts w:ascii="GHEA Grapalat" w:hAnsi="GHEA Grapalat"/>
          <w:sz w:val="24"/>
          <w:szCs w:val="24"/>
        </w:rPr>
        <w:t>։</w:t>
      </w:r>
    </w:p>
    <w:p w14:paraId="394CE4E8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851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ավարտից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հետո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օբյեկտի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հետ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եզրափակիչ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հանդիպում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904FC">
        <w:rPr>
          <w:rFonts w:ascii="GHEA Grapalat" w:hAnsi="GHEA Grapalat"/>
          <w:sz w:val="24"/>
          <w:szCs w:val="24"/>
        </w:rPr>
        <w:t>Գրանցման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հավաստագրի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իրավատիրոջ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պատասխանատու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որակավորված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անձը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պետք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լինի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եզրափակիչ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հանդիպմանը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904FC">
        <w:rPr>
          <w:rFonts w:ascii="GHEA Grapalat" w:hAnsi="GHEA Grapalat"/>
          <w:sz w:val="24"/>
          <w:szCs w:val="24"/>
        </w:rPr>
        <w:t>Եզրափակիչ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հանդիպման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նպատակն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է՝</w:t>
      </w:r>
    </w:p>
    <w:p w14:paraId="55F675DE" w14:textId="77777777" w:rsidR="00237DD1" w:rsidRPr="000904FC" w:rsidRDefault="00237DD1" w:rsidP="00237DD1">
      <w:pPr>
        <w:pStyle w:val="Bodytext20"/>
        <w:numPr>
          <w:ilvl w:val="0"/>
          <w:numId w:val="33"/>
        </w:numPr>
        <w:shd w:val="clear" w:color="auto" w:fill="auto"/>
        <w:tabs>
          <w:tab w:val="left" w:pos="1134"/>
        </w:tabs>
        <w:spacing w:before="0" w:after="0" w:line="360" w:lineRule="auto"/>
        <w:ind w:right="-6"/>
        <w:rPr>
          <w:rFonts w:ascii="GHEA Grapalat" w:hAnsi="GHEA Grapalat"/>
          <w:sz w:val="24"/>
          <w:szCs w:val="24"/>
        </w:rPr>
      </w:pPr>
      <w:r w:rsidRPr="000904FC">
        <w:rPr>
          <w:rFonts w:ascii="GHEA Grapalat" w:hAnsi="GHEA Grapalat"/>
          <w:sz w:val="24"/>
          <w:szCs w:val="24"/>
        </w:rPr>
        <w:tab/>
      </w:r>
      <w:proofErr w:type="spellStart"/>
      <w:r w:rsidRPr="000904FC">
        <w:rPr>
          <w:rFonts w:ascii="GHEA Grapalat" w:hAnsi="GHEA Grapalat"/>
          <w:sz w:val="24"/>
          <w:szCs w:val="24"/>
        </w:rPr>
        <w:t>բացատրելու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հայտնաբերված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sz w:val="24"/>
          <w:szCs w:val="24"/>
        </w:rPr>
        <w:t>անհամապատասխանությունների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904FC">
        <w:rPr>
          <w:rFonts w:ascii="GHEA Grapalat" w:hAnsi="GHEA Grapalat"/>
          <w:sz w:val="24"/>
          <w:szCs w:val="24"/>
        </w:rPr>
        <w:t>նախնական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դասակարգումը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6B149A77" w14:textId="77777777" w:rsidR="00237DD1" w:rsidRPr="000904FC" w:rsidRDefault="00237DD1" w:rsidP="00237DD1">
      <w:pPr>
        <w:pStyle w:val="Bodytext20"/>
        <w:numPr>
          <w:ilvl w:val="0"/>
          <w:numId w:val="33"/>
        </w:numPr>
        <w:shd w:val="clear" w:color="auto" w:fill="auto"/>
        <w:tabs>
          <w:tab w:val="left" w:pos="1134"/>
        </w:tabs>
        <w:spacing w:before="0" w:after="0" w:line="360" w:lineRule="auto"/>
        <w:ind w:right="-6"/>
        <w:rPr>
          <w:rFonts w:ascii="GHEA Grapalat" w:hAnsi="GHEA Grapalat"/>
          <w:sz w:val="24"/>
          <w:szCs w:val="24"/>
        </w:rPr>
      </w:pPr>
      <w:r w:rsidRPr="000904FC">
        <w:rPr>
          <w:rFonts w:ascii="GHEA Grapalat" w:hAnsi="GHEA Grapalat"/>
          <w:sz w:val="24"/>
          <w:szCs w:val="24"/>
        </w:rPr>
        <w:tab/>
      </w:r>
      <w:proofErr w:type="spellStart"/>
      <w:r w:rsidRPr="000904FC">
        <w:rPr>
          <w:rFonts w:ascii="GHEA Grapalat" w:hAnsi="GHEA Grapalat"/>
          <w:sz w:val="24"/>
          <w:szCs w:val="24"/>
        </w:rPr>
        <w:t>բացատրելու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հաշվետվությունը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0904FC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0904FC">
        <w:rPr>
          <w:rFonts w:ascii="GHEA Grapalat" w:hAnsi="GHEA Grapalat"/>
          <w:sz w:val="24"/>
          <w:szCs w:val="24"/>
        </w:rPr>
        <w:t>հայտնաբերված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վերացմանն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կանխարգելմանն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ուղղված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ծրագրի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0904FC">
        <w:rPr>
          <w:rFonts w:ascii="GHEA Grapalat" w:hAnsi="GHEA Grapalat"/>
          <w:sz w:val="24"/>
          <w:szCs w:val="24"/>
        </w:rPr>
        <w:t>(</w:t>
      </w:r>
      <w:proofErr w:type="spellStart"/>
      <w:r w:rsidRPr="000904FC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դեպքում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904FC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ընթացակարգը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ժամկետները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  <w:r w:rsidRPr="000904FC">
        <w:rPr>
          <w:rFonts w:ascii="GHEA Grapalat" w:hAnsi="GHEA Grapalat"/>
          <w:sz w:val="24"/>
          <w:szCs w:val="24"/>
        </w:rPr>
        <w:t xml:space="preserve"> </w:t>
      </w:r>
    </w:p>
    <w:p w14:paraId="1076B8C0" w14:textId="77777777" w:rsidR="00237DD1" w:rsidRPr="000904FC" w:rsidRDefault="00237DD1" w:rsidP="00237DD1">
      <w:pPr>
        <w:pStyle w:val="Bodytext20"/>
        <w:numPr>
          <w:ilvl w:val="0"/>
          <w:numId w:val="33"/>
        </w:numPr>
        <w:shd w:val="clear" w:color="auto" w:fill="auto"/>
        <w:tabs>
          <w:tab w:val="left" w:pos="1134"/>
        </w:tabs>
        <w:spacing w:before="0" w:after="0" w:line="360" w:lineRule="auto"/>
        <w:ind w:right="-6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հայտնաբերված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sz w:val="24"/>
          <w:szCs w:val="24"/>
        </w:rPr>
        <w:t>անհամապատասխանությունների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904FC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ընդհանրացված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միանշանակ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ընկալումը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sz w:val="24"/>
          <w:szCs w:val="24"/>
        </w:rPr>
        <w:t>անհամապատասխանությունների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904FC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մասին</w:t>
      </w:r>
      <w:proofErr w:type="spellEnd"/>
      <w:r w:rsidRPr="000904FC">
        <w:rPr>
          <w:rFonts w:ascii="Cambria Math" w:hAnsi="Cambria Math" w:cs="Cambria Math"/>
          <w:sz w:val="24"/>
          <w:szCs w:val="24"/>
        </w:rPr>
        <w:t>․</w:t>
      </w:r>
    </w:p>
    <w:p w14:paraId="359A586B" w14:textId="77777777" w:rsidR="00237DD1" w:rsidRPr="000904FC" w:rsidRDefault="00237DD1" w:rsidP="00237DD1">
      <w:pPr>
        <w:pStyle w:val="Bodytext20"/>
        <w:numPr>
          <w:ilvl w:val="0"/>
          <w:numId w:val="33"/>
        </w:numPr>
        <w:shd w:val="clear" w:color="auto" w:fill="auto"/>
        <w:tabs>
          <w:tab w:val="left" w:pos="1134"/>
        </w:tabs>
        <w:spacing w:before="0" w:after="0" w:line="360" w:lineRule="auto"/>
        <w:ind w:right="-6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ընձեռելու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դիտարկվող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օբյեկտին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904FC">
        <w:rPr>
          <w:rFonts w:ascii="GHEA Grapalat" w:hAnsi="GHEA Grapalat"/>
          <w:sz w:val="24"/>
          <w:szCs w:val="24"/>
        </w:rPr>
        <w:t>ճշգրտելու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հայտնաբերված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թերությունների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sz w:val="24"/>
          <w:szCs w:val="24"/>
        </w:rPr>
        <w:t>անհամապատասխանությունների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904FC">
        <w:rPr>
          <w:rFonts w:ascii="GHEA Grapalat" w:hAnsi="GHEA Grapalat"/>
          <w:sz w:val="24"/>
          <w:szCs w:val="24"/>
        </w:rPr>
        <w:t>մասով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սխալ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մեկնաբանությունը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թյուրընկալումը</w:t>
      </w:r>
      <w:proofErr w:type="spellEnd"/>
      <w:r w:rsidRPr="000904FC">
        <w:rPr>
          <w:rFonts w:ascii="GHEA Grapalat" w:hAnsi="GHEA Grapalat"/>
          <w:sz w:val="24"/>
          <w:szCs w:val="24"/>
        </w:rPr>
        <w:t>։</w:t>
      </w:r>
    </w:p>
    <w:p w14:paraId="7D3EE353" w14:textId="77777777" w:rsidR="00237DD1" w:rsidRPr="000904FC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851"/>
        </w:tabs>
        <w:spacing w:before="0" w:after="0" w:line="360" w:lineRule="auto"/>
        <w:ind w:left="0" w:right="-6" w:firstLine="0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Եզրափակիչ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հանդիպումն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անցկացվում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մասով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վայրում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կամ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դիտարկվող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օբյեկտում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sz w:val="24"/>
          <w:szCs w:val="24"/>
        </w:rPr>
        <w:t>եթե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դա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հիմնավորված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է):</w:t>
      </w:r>
    </w:p>
    <w:p w14:paraId="70A3DAEA" w14:textId="77777777" w:rsidR="00237DD1" w:rsidRPr="000904FC" w:rsidRDefault="00237DD1" w:rsidP="00237DD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59123546" w14:textId="77777777" w:rsidR="00237DD1" w:rsidRPr="000904FC" w:rsidRDefault="00237DD1" w:rsidP="00237DD1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bookmarkStart w:id="1" w:name="_Hlk191631625"/>
      <w:r>
        <w:rPr>
          <w:rFonts w:ascii="GHEA Grapalat" w:hAnsi="GHEA Grapalat"/>
          <w:b/>
          <w:bCs/>
          <w:sz w:val="24"/>
          <w:szCs w:val="24"/>
        </w:rPr>
        <w:t>3</w:t>
      </w:r>
      <w:r w:rsidRPr="000904FC">
        <w:rPr>
          <w:rFonts w:ascii="GHEA Grapalat" w:hAnsi="GHEA Grapalat"/>
          <w:b/>
          <w:bCs/>
          <w:sz w:val="24"/>
          <w:szCs w:val="24"/>
        </w:rPr>
        <w:t>.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0904FC">
        <w:rPr>
          <w:rFonts w:ascii="GHEA Grapalat" w:hAnsi="GHEA Grapalat"/>
          <w:b/>
          <w:bCs/>
          <w:sz w:val="24"/>
          <w:szCs w:val="24"/>
        </w:rPr>
        <w:t>ԴԻՏԱՐԿՄԱՆ ԱՐԴՅՈՒՆՔՆԵՐԻ ԱՄՓՈՓՈՒՄԸ</w:t>
      </w:r>
    </w:p>
    <w:bookmarkEnd w:id="1"/>
    <w:p w14:paraId="2A92986C" w14:textId="77777777" w:rsidR="00237DD1" w:rsidRPr="000904FC" w:rsidRDefault="00237DD1" w:rsidP="00237DD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4EE207B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567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 xml:space="preserve">Դիտարկման յուրաքանչյուր վայրի համար կազմվում է դիտարկման հաշվետվություն (Ձև 1) հայերենով կամ ռուսերենով կամ անգլերենով՝ համաձայն պայմանագրի: </w:t>
      </w:r>
    </w:p>
    <w:p w14:paraId="4E60DFD5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tabs>
          <w:tab w:val="left" w:pos="567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Դիտարկման հաշվետվությունը նախապատրաստվում է դիտարկման խմբի անդամների կողմից և համակարգվում է խմբի ղեկավար փորձագետի կողմից: Դիտարկման հաշվետվությունը ստորագրվում է դիտարկման խմբի բոլոր անդամների կողմից։</w:t>
      </w:r>
    </w:p>
    <w:p w14:paraId="7577BD5A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bookmarkStart w:id="2" w:name="_Hlk191631731"/>
      <w:r w:rsidRPr="00237DD1">
        <w:rPr>
          <w:rFonts w:ascii="GHEA Grapalat" w:hAnsi="GHEA Grapalat"/>
          <w:sz w:val="24"/>
          <w:szCs w:val="24"/>
          <w:lang w:val="hy-AM"/>
        </w:rPr>
        <w:t xml:space="preserve">Դիտարկման հաշվետվության մեջ նշվում է դիտարկման արդյունքներով հայտնաբերված գրանցման հավաստագրի իրավատիրոջ դեղազգոնության համակարգի թերությունների (անհամապատասխանությունների) դասը՝ հետևյալ սկզբունքով. </w:t>
      </w:r>
    </w:p>
    <w:p w14:paraId="0DA810C5" w14:textId="77777777" w:rsidR="00237DD1" w:rsidRPr="00237DD1" w:rsidRDefault="00237DD1" w:rsidP="00237DD1">
      <w:pPr>
        <w:pStyle w:val="Bodytext20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դեղազգոնության համակարգի կրիտիկական թերությունը՝ (անհամապատասխանություն) դեղազգոնության համակարգի մեկ կամ մի քանի գործընթացների կամ իրականացվող ընթացակարգերի սկզբունքային թերությունն է (անհամապատասխանությունը), որը բացասաբար է ազդում դեղազգոնության ամբողջ համակարգի և (կամ) պացիենտների իրավունքների, անվտանգության ու բարեկեցության վրա, և (կամ) պոտենցիալ սպառնալիք է բնակչության առողջության համար և (կամ) դեղերի շրջանառության պետական կարգավորման ոլորտում օրենսդրական պահանջների լուրջ խախտում է.</w:t>
      </w:r>
    </w:p>
    <w:p w14:paraId="03981EC6" w14:textId="77777777" w:rsidR="00237DD1" w:rsidRPr="00237DD1" w:rsidRDefault="00237DD1" w:rsidP="00237DD1">
      <w:pPr>
        <w:pStyle w:val="Bodytext20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դեղազգոնության համակարգի խոշոր թերությունը (անհամապատասխանություն)՝ դեղազգոնության համակարգի մեկ կամ մի քանի գործընթացների կամ իրականացվող ընթացակարգերի զգալի թերությունն է (անհամապատասխանությունը) կամ դեղազգոնության մեկ կամ մի քանի գործընթացների կամ իրականացվող ընթացակարգերի որևէ մասի սկզբունքային թերությունը, որը բացասաբար է ազդում ամբողջ գործընթացի վրա և (կամ) պոտենցիալ առումով կարող է ազդել պացիենտների իրավունքների, անվտանգության ու բարեկեցության վրա, և (կամ) կարող է պոտենցիալ վտանգ ներկայացնել բնակչության առողջության համար, և (կամ) դեղերի շրջանառության պետական կարգավորման ոլորտում օրենսդրական պահանջների խախտում է, որը, սակայն, լուրջ չի համարվում.</w:t>
      </w:r>
    </w:p>
    <w:p w14:paraId="7DE15729" w14:textId="77777777" w:rsidR="00237DD1" w:rsidRPr="00237DD1" w:rsidRDefault="00237DD1" w:rsidP="00237DD1">
      <w:pPr>
        <w:pStyle w:val="Bodytext20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lastRenderedPageBreak/>
        <w:t>դեղազգոնության համակարգի փոքր թերությունը (անհամապատասխանություն)՝ դեղազգոնության համակարգի մեկ կամ մի քանի գործընթացների կամ իրականացվող ընթացակարգերի որևէ բաղադրիչի թերությունն է (անհամապատասխանությունը), որը, ինչպես ակնկալվում է, չի կարող բացասաբար ազդել դեղազգոնության ամբողջ համակարգի կամ գործընթացի և (կամ) պացիենտների իրավունքների, անվտանգության ու բարեկեցության վրա։</w:t>
      </w:r>
    </w:p>
    <w:p w14:paraId="48D9B9CD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Դիտարկման հաշվետվության մեջ յուրաքանչյուր սահմանված թերության (անհամապատասխանության) առումով պետք է նշվի նաև ՊԴԳ կանոնների համապատասխան բաժինը։</w:t>
      </w:r>
    </w:p>
    <w:bookmarkEnd w:id="2"/>
    <w:p w14:paraId="63B9DBB1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Դիտարկման հաշվետվության նախագիծը էլեկտրոնային փոստով կամ էլեկտրոնային համակարգի միջոցով ուղարկվում է գրանցման հավաստագրի իրավատիրոջը դիտարկման ավարտի օրվանից 30 աշխատանքային օրվա ընթացքում՝ մեկնաբանություններ ներկայացնելու հարցմամբ (օրինակ՝ էական սխալների, տարակարծությունների և թերությունների վերացման ու կանխարգելման միջոցառումների վերաբերյալ): Թերությունների վերացման և կանխարգելման միջոցառումների ծրագիրը (անհրաժեշտության դեպքում) պետք է ներկայացվի գրանցման հավաստագրի իրավատիրոջ կողմից դիտարկման հաշվետվության նախագիծը ստանալու օրվանից 30 աշխատանքային օրվա ընթացքում: Այն դեպքում, երբ գրանցման հավաստագրի իրավատիրոջ կողմից պատասխանը սահմանված ժամկետում չի ստացվել, դա արտացոլվում է դիտարկման հաշվետվության մեջ։</w:t>
      </w:r>
    </w:p>
    <w:p w14:paraId="6C2DF68E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Գրանցման հավաստագրի իրավատիրոջ պատասխանը քննարկվում է դիտարկման խմբի անդամների կողմից՝ ներառյալ դիտարկման արդյունքների վրա ներկայացված մեկնաբանությունների ազդեցության գնահատումը, ինչպես նաև թերությունների վերացման և կանխարգելման առաջարկվող միջոցառումների համապատասխանությունը: Տվյալ գնահատումը պետք է ներառվի դիտարկման հաշվետվության վերջնական խմբագրության մեջ, որը ձևավորվում է գրանցման հավաստագրի իրավատիրոջ պատասխանը ստանալու օրվանից 10 աշխատանքային օրվա ընթացքում։ Դիտարկման հաշվետվության վերջնական տարբերակը ներկայացվում է գրանցման հավաստագրի իրավատիրոջը՝ կազմակերպության ուղեկցող գրությամբ:</w:t>
      </w:r>
    </w:p>
    <w:p w14:paraId="3A589CF3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lastRenderedPageBreak/>
        <w:t>Թերությունների վերացման և կանխարգելման միջոցառումների ծրագրով սահմանված ժամկետներն ավարտելուց հետո կրիտիկական և խոշոր թերությունների դեպքում իրականացվում է կրկնակի դիտարկում՝ ծրագրի կատարումը գնահատելու համար՝ սույն կարգի համաձայն:</w:t>
      </w:r>
    </w:p>
    <w:p w14:paraId="7489D763" w14:textId="77777777" w:rsidR="00237DD1" w:rsidRPr="00237DD1" w:rsidRDefault="00237DD1" w:rsidP="00237DD1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0" w:right="-8" w:firstLine="0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Դիտարկման արդյունքների հիման վրա դիտարկման հաշվետվությունը գրանցման հավաստագրի իրավատիրոջը ուղարկելուց հետո առավելագույնը 5 աշխատանքային օրվա ընթացքում կազմակերպությունը լիազոր մարմին է ներկայացնում փորձագիտական եզրակացություն՝ կցելով դիտարկման հաշվետվությունը:</w:t>
      </w:r>
    </w:p>
    <w:p w14:paraId="6718EB3F" w14:textId="77777777" w:rsidR="00237DD1" w:rsidRPr="000904FC" w:rsidRDefault="00237DD1" w:rsidP="00237DD1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4205BA83" w14:textId="77777777" w:rsidR="00237DD1" w:rsidRPr="000904FC" w:rsidRDefault="00237DD1" w:rsidP="00237DD1">
      <w:pPr>
        <w:spacing w:after="0" w:line="360" w:lineRule="auto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14:ligatures w14:val="none"/>
        </w:rPr>
        <w:t>4.</w:t>
      </w:r>
      <w:r w:rsidRPr="000904FC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14:ligatures w14:val="none"/>
        </w:rPr>
        <w:t xml:space="preserve"> ԱՅԼ ԵՐԿՐՆԵՐԻ ԻՐԱՎԱՍՈՒ ՄԱՐՄԻՆՆԵՐԻ ԴԻՏԱՐԿՄԱՆ ՀԱՇՎԵՏՎՈՒԹՅՈՒՆՆԵՐԻ ՃԱՆԱՉՄԱՆ ԿԱՐԳԸ</w:t>
      </w:r>
    </w:p>
    <w:p w14:paraId="70D0F945" w14:textId="77777777" w:rsidR="00237DD1" w:rsidRPr="000904FC" w:rsidRDefault="00237DD1" w:rsidP="00237DD1">
      <w:pPr>
        <w:spacing w:after="0" w:line="360" w:lineRule="auto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BF7C96D" w14:textId="77777777" w:rsidR="00237DD1" w:rsidRPr="000904FC" w:rsidRDefault="00237DD1" w:rsidP="00237DD1">
      <w:pPr>
        <w:pStyle w:val="ListParagraph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0904FC">
        <w:rPr>
          <w:rFonts w:ascii="GHEA Grapalat" w:hAnsi="GHEA Grapalat"/>
          <w:color w:val="000000"/>
          <w:sz w:val="24"/>
          <w:szCs w:val="24"/>
        </w:rPr>
        <w:t>Եվրասիական տնտեսական միությանը և դեղերի գրանցման տեխնիկական պահանջների ներդաշնակեցման միջազգային խորհրդին անդամակցող երկրների իրավասու մարմինների կողմից վերջին երեք տարվա ընթացքում իրականացված Պատշաճ դեղազգոնության գործունեության համապատասխանության դիտարկման դրական արդյունքների դեպքում ճանաչվում են հաշվետվությունները, և դիտարկում չի իրականացվում՝ բացառությամբ այն դեպքերի, երբ փորձաքննության արդյունքում հայտնաբերվել են անհամապատասխանություններ, որոնց ուսումնասիրության համար անհրաժեշտ է իրականացնել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904FC">
        <w:rPr>
          <w:rFonts w:ascii="GHEA Grapalat" w:hAnsi="GHEA Grapalat"/>
          <w:color w:val="000000"/>
          <w:sz w:val="24"/>
          <w:szCs w:val="24"/>
        </w:rPr>
        <w:t>դիտարկում:</w:t>
      </w:r>
    </w:p>
    <w:p w14:paraId="0BF709BB" w14:textId="77777777" w:rsidR="00237DD1" w:rsidRPr="000904FC" w:rsidRDefault="00237DD1" w:rsidP="00237DD1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14:ligatures w14:val="none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3"/>
      </w:tblGrid>
      <w:tr w:rsidR="00237DD1" w:rsidRPr="000904FC" w14:paraId="535E2E36" w14:textId="77777777" w:rsidTr="002842C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F3D0814" w14:textId="77777777" w:rsidR="00237DD1" w:rsidRPr="000904FC" w:rsidRDefault="00237DD1" w:rsidP="002842CD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904F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Հայաստանի Հանրապետության</w:t>
            </w:r>
            <w:r w:rsidRPr="000904F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36BA323" w14:textId="77777777" w:rsidR="00237DD1" w:rsidRPr="000904FC" w:rsidRDefault="00237DD1" w:rsidP="002842CD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904F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Ն. Փաշինյան</w:t>
            </w:r>
          </w:p>
        </w:tc>
      </w:tr>
    </w:tbl>
    <w:p w14:paraId="5F1FA5CE" w14:textId="77777777" w:rsidR="00237DD1" w:rsidRPr="000904FC" w:rsidRDefault="00237DD1" w:rsidP="00237DD1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14:ligatures w14:val="none"/>
        </w:rPr>
      </w:pPr>
      <w:r w:rsidRPr="000904F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5C28C805" w14:textId="77777777" w:rsidR="00237DD1" w:rsidRPr="000904FC" w:rsidRDefault="00237DD1" w:rsidP="00237DD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238E4F25" w14:textId="77777777" w:rsidR="00237DD1" w:rsidRPr="00822FC9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822FC9">
        <w:rPr>
          <w:rFonts w:ascii="GHEA Grapalat" w:hAnsi="GHEA Grapalat"/>
          <w:b/>
          <w:sz w:val="24"/>
          <w:szCs w:val="24"/>
        </w:rPr>
        <w:t>Ձև</w:t>
      </w:r>
      <w:proofErr w:type="spellEnd"/>
      <w:r w:rsidRPr="00822FC9">
        <w:rPr>
          <w:rFonts w:ascii="GHEA Grapalat" w:hAnsi="GHEA Grapalat"/>
          <w:b/>
          <w:sz w:val="24"/>
          <w:szCs w:val="24"/>
        </w:rPr>
        <w:t xml:space="preserve"> 1</w:t>
      </w:r>
    </w:p>
    <w:p w14:paraId="257F046D" w14:textId="77777777" w:rsidR="00237DD1" w:rsidRPr="00822FC9" w:rsidRDefault="00237DD1" w:rsidP="00237DD1">
      <w:pPr>
        <w:pStyle w:val="Bodytext30"/>
        <w:shd w:val="clear" w:color="auto" w:fill="auto"/>
        <w:spacing w:after="160" w:line="276" w:lineRule="auto"/>
        <w:ind w:right="-8"/>
        <w:rPr>
          <w:rFonts w:ascii="GHEA Grapalat" w:hAnsi="GHEA Grapalat"/>
          <w:b w:val="0"/>
          <w:sz w:val="24"/>
          <w:szCs w:val="24"/>
        </w:rPr>
      </w:pPr>
      <w:r w:rsidRPr="00822FC9">
        <w:rPr>
          <w:rStyle w:val="Bodytext3Spacing2pt"/>
          <w:rFonts w:ascii="GHEA Grapalat" w:hAnsi="GHEA Grapalat"/>
          <w:b/>
          <w:sz w:val="24"/>
          <w:szCs w:val="24"/>
        </w:rPr>
        <w:t>ՀԱՇՎԵՏՎՈՒԹՅՈՒՆ</w:t>
      </w:r>
    </w:p>
    <w:p w14:paraId="14D9961A" w14:textId="77777777" w:rsidR="00237DD1" w:rsidRPr="000904FC" w:rsidRDefault="00237DD1" w:rsidP="00237DD1">
      <w:pPr>
        <w:pStyle w:val="Bodytext30"/>
        <w:shd w:val="clear" w:color="auto" w:fill="auto"/>
        <w:spacing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0904FC">
        <w:rPr>
          <w:rFonts w:ascii="GHEA Grapalat" w:hAnsi="GHEA Grapalat"/>
          <w:color w:val="000000"/>
          <w:sz w:val="21"/>
          <w:szCs w:val="21"/>
        </w:rPr>
        <w:t>ՊԱՏՇԱՃ ԴԵՂԱԶԳՈՆՈՒԹՅԱՆ ԳՈՐԾՈՒՆԵՈՒԹՅԱՆ ԿԱՆՈՆՆԵՐԻՆ ՀԱՄԱՊԱՏԱՍԽԱՆՈՒԹՅԱՆ ՄԱՍՆԱԳԻՏԱԿԱՆ ԴԻՏԱՐԿՄԱՆ</w:t>
      </w:r>
    </w:p>
    <w:p w14:paraId="7A602860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0" w:line="276" w:lineRule="auto"/>
        <w:ind w:right="-6" w:firstLine="567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անվանումը</w:t>
      </w:r>
      <w:proofErr w:type="spellEnd"/>
      <w:r w:rsidRPr="000904FC">
        <w:rPr>
          <w:rFonts w:ascii="GHEA Grapalat" w:hAnsi="GHEA Grapalat"/>
          <w:sz w:val="24"/>
          <w:szCs w:val="24"/>
        </w:rPr>
        <w:t>՝ ______________________________</w:t>
      </w:r>
    </w:p>
    <w:p w14:paraId="55F9EF46" w14:textId="77777777" w:rsidR="00237DD1" w:rsidRPr="000904FC" w:rsidRDefault="00237DD1" w:rsidP="00237DD1">
      <w:pPr>
        <w:pStyle w:val="Bodytext50"/>
        <w:shd w:val="clear" w:color="auto" w:fill="auto"/>
        <w:spacing w:before="0" w:after="160" w:line="276" w:lineRule="auto"/>
        <w:ind w:right="133"/>
        <w:jc w:val="right"/>
        <w:rPr>
          <w:rFonts w:ascii="GHEA Grapalat" w:hAnsi="GHEA Grapalat"/>
        </w:rPr>
      </w:pPr>
      <w:r w:rsidRPr="000904FC">
        <w:rPr>
          <w:rFonts w:ascii="GHEA Grapalat" w:hAnsi="GHEA Grapalat"/>
        </w:rPr>
        <w:t>(</w:t>
      </w:r>
      <w:proofErr w:type="spellStart"/>
      <w:r w:rsidRPr="000904FC">
        <w:rPr>
          <w:rFonts w:ascii="GHEA Grapalat" w:hAnsi="GHEA Grapalat"/>
        </w:rPr>
        <w:t>կազմակերպության</w:t>
      </w:r>
      <w:proofErr w:type="spellEnd"/>
      <w:r w:rsidRPr="000904FC">
        <w:rPr>
          <w:rFonts w:ascii="GHEA Grapalat" w:hAnsi="GHEA Grapalat"/>
        </w:rPr>
        <w:t xml:space="preserve"> </w:t>
      </w:r>
      <w:proofErr w:type="spellStart"/>
      <w:r w:rsidRPr="000904FC">
        <w:rPr>
          <w:rFonts w:ascii="GHEA Grapalat" w:hAnsi="GHEA Grapalat"/>
        </w:rPr>
        <w:t>անվանումը</w:t>
      </w:r>
      <w:proofErr w:type="spellEnd"/>
      <w:r w:rsidRPr="000904FC">
        <w:rPr>
          <w:rFonts w:ascii="GHEA Grapalat" w:hAnsi="GHEA Grapalat"/>
        </w:rPr>
        <w:t>)</w:t>
      </w:r>
    </w:p>
    <w:p w14:paraId="705D28C4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մաստեր-ֆայլի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տարբերակի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՝ </w:t>
      </w:r>
    </w:p>
    <w:p w14:paraId="40F1ED53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lastRenderedPageBreak/>
        <w:t>Դեղազգոնության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համակարգի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համարը</w:t>
      </w:r>
      <w:proofErr w:type="spellEnd"/>
      <w:r w:rsidRPr="000904FC">
        <w:rPr>
          <w:rFonts w:ascii="GHEA Grapalat" w:hAnsi="GHEA Grapalat"/>
          <w:sz w:val="24"/>
          <w:szCs w:val="24"/>
        </w:rPr>
        <w:t>՝ _____________</w:t>
      </w:r>
    </w:p>
    <w:p w14:paraId="1C2A6864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Հաշվետվության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համարը</w:t>
      </w:r>
      <w:proofErr w:type="spellEnd"/>
      <w:r w:rsidRPr="000904FC">
        <w:rPr>
          <w:rFonts w:ascii="GHEA Grapalat" w:hAnsi="GHEA Grapalat"/>
          <w:sz w:val="24"/>
          <w:szCs w:val="24"/>
        </w:rPr>
        <w:t>՝ __________________________________</w:t>
      </w:r>
    </w:p>
    <w:p w14:paraId="21F372A3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sz w:val="24"/>
          <w:szCs w:val="24"/>
        </w:rPr>
        <w:t>Կազմման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ամսաթիվը</w:t>
      </w:r>
      <w:proofErr w:type="spellEnd"/>
      <w:r w:rsidRPr="000904FC">
        <w:rPr>
          <w:rFonts w:ascii="GHEA Grapalat" w:hAnsi="GHEA Grapalat"/>
          <w:sz w:val="24"/>
          <w:szCs w:val="24"/>
        </w:rPr>
        <w:t>՝ _____________________________________________</w:t>
      </w:r>
    </w:p>
    <w:p w14:paraId="1381946F" w14:textId="77777777" w:rsidR="00237DD1" w:rsidRPr="000904FC" w:rsidRDefault="00237DD1" w:rsidP="00237DD1">
      <w:pPr>
        <w:pStyle w:val="Tablecaption0"/>
        <w:shd w:val="clear" w:color="auto" w:fill="auto"/>
        <w:tabs>
          <w:tab w:val="left" w:pos="1985"/>
        </w:tabs>
        <w:spacing w:after="160" w:line="276" w:lineRule="auto"/>
        <w:ind w:right="-8" w:firstLine="567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Բաժին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I</w:t>
      </w:r>
      <w:r w:rsidRPr="000904FC">
        <w:rPr>
          <w:rFonts w:ascii="Cambria Math" w:hAnsi="Cambria Math" w:cs="Cambria Math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Վարչական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տեղեկություններ</w:t>
      </w:r>
      <w:proofErr w:type="spellEnd"/>
    </w:p>
    <w:tbl>
      <w:tblPr>
        <w:tblOverlap w:val="never"/>
        <w:tblW w:w="95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11"/>
        <w:gridCol w:w="4230"/>
      </w:tblGrid>
      <w:tr w:rsidR="00237DD1" w:rsidRPr="000904FC" w14:paraId="34B2F37E" w14:textId="77777777" w:rsidTr="002842CD">
        <w:trPr>
          <w:trHeight w:hRule="exact" w:val="468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82928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6" w:firstLine="567"/>
              <w:jc w:val="center"/>
              <w:rPr>
                <w:rFonts w:ascii="GHEA Grapalat" w:hAnsi="GHEA Grapalat"/>
                <w:sz w:val="20"/>
                <w:szCs w:val="24"/>
              </w:rPr>
            </w:pP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Դիտարկման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տեսակը</w:t>
            </w:r>
            <w:proofErr w:type="spellEnd"/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FE4A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71F447CF" w14:textId="77777777" w:rsidTr="002842CD">
        <w:trPr>
          <w:trHeight w:hRule="exact" w:val="1144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3FE0B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>Դեղազգոնության մասով գործունեություն իրականացնող դիտարկող օբյեկտի անվանումը և գտնվելու վայրի հասցեն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5BA9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32C89AEE" w14:textId="77777777" w:rsidTr="002842CD">
        <w:trPr>
          <w:trHeight w:hRule="exact" w:val="1416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D44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>Կոնտակտային անձը դիտարկում անցկացնելու մասով</w:t>
            </w:r>
            <w:r w:rsidRPr="000904FC">
              <w:rPr>
                <w:rStyle w:val="Bodytext213pt"/>
                <w:rFonts w:ascii="GHEA Grapalat" w:hAnsi="GHEA Grapalat"/>
                <w:sz w:val="20"/>
                <w:szCs w:val="24"/>
              </w:rPr>
              <w:t xml:space="preserve"> լրացվում է այն դեպքում, երբ</w:t>
            </w:r>
            <w:r>
              <w:rPr>
                <w:rStyle w:val="Bodytext213pt"/>
                <w:rFonts w:ascii="GHEA Grapalat" w:hAnsi="GHEA Grapalat"/>
                <w:sz w:val="20"/>
                <w:szCs w:val="24"/>
              </w:rPr>
              <w:t xml:space="preserve"> </w:t>
            </w:r>
            <w:r w:rsidRPr="000904FC">
              <w:rPr>
                <w:rStyle w:val="Bodytext213pt"/>
                <w:rFonts w:ascii="GHEA Grapalat" w:hAnsi="GHEA Grapalat"/>
                <w:sz w:val="20"/>
                <w:szCs w:val="24"/>
              </w:rPr>
              <w:t>դիտարկման մասով կոնտակտային անձը չի համընկնում դեղազգոնության մասով պատասխանատու կամ որակավորած անձի հետ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44A70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left="147" w:right="105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237DD1" w:rsidRPr="000904FC" w14:paraId="6507F6DD" w14:textId="77777777" w:rsidTr="002842CD">
        <w:trPr>
          <w:trHeight w:hRule="exact" w:val="454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C7A0C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</w:rPr>
            </w:pP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Դիտարկման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անցկացման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ամսաթվերը</w:t>
            </w:r>
            <w:proofErr w:type="spellEnd"/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2F32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116"/>
              <w:jc w:val="both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  <w:tr w:rsidR="00237DD1" w:rsidRPr="000904FC" w14:paraId="3C7517B0" w14:textId="77777777" w:rsidTr="002842CD">
        <w:trPr>
          <w:trHeight w:hRule="exact" w:val="454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65D3D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</w:rPr>
            </w:pP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Դիտարկման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խմբի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ղեկավար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փորձագետը</w:t>
            </w:r>
            <w:proofErr w:type="spellEnd"/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3EF0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116"/>
              <w:jc w:val="both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  <w:tr w:rsidR="00237DD1" w:rsidRPr="000904FC" w14:paraId="13C85506" w14:textId="77777777" w:rsidTr="002842CD">
        <w:trPr>
          <w:trHeight w:hRule="exact" w:val="796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A8D5B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>Հաշվետվություն գրելու համար պատասխանատու փորձագետը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DD4C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116"/>
              <w:jc w:val="both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  <w:tr w:rsidR="00237DD1" w:rsidRPr="000904FC" w14:paraId="1C3C45B4" w14:textId="77777777" w:rsidTr="002842CD">
        <w:trPr>
          <w:trHeight w:hRule="exact" w:val="554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2774A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</w:rPr>
            </w:pP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Դիտարկման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խմբի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փորձագետները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6F68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 w:firstLine="567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604BBBB4" w14:textId="77777777" w:rsidTr="002842CD">
        <w:trPr>
          <w:trHeight w:hRule="exact" w:val="1710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AC7C2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left="113" w:right="127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>Դեղի գրանցման հավաստագրի իրավատիրոջ դեղազգոնության համակարգի նախորդ դիտարկումները՝</w:t>
            </w:r>
          </w:p>
          <w:p w14:paraId="02DE2E41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left="113" w:right="127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0904FC">
              <w:rPr>
                <w:rStyle w:val="Bodytext2Italic"/>
                <w:rFonts w:ascii="GHEA Grapalat" w:hAnsi="GHEA Grapalat"/>
                <w:sz w:val="20"/>
                <w:szCs w:val="24"/>
              </w:rPr>
              <w:t>(ամսաթիվը և դիտարկում անցկացրած կազմակերպությունը)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11FC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 w:firstLine="567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65DE03BF" w14:textId="77777777" w:rsidTr="002842CD">
        <w:trPr>
          <w:trHeight w:hRule="exact" w:val="446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CC6A6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27" w:firstLine="0"/>
              <w:rPr>
                <w:rFonts w:ascii="GHEA Grapalat" w:hAnsi="GHEA Grapalat"/>
                <w:sz w:val="20"/>
                <w:szCs w:val="24"/>
              </w:rPr>
            </w:pP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Դիտարկման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նպատակը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DBB7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 w:firstLine="567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135A851C" w14:textId="77777777" w:rsidTr="002842CD">
        <w:trPr>
          <w:trHeight w:hRule="exact" w:val="1103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9AB8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27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>Այն դեղերի անվանումները, որոնք, որպես օրինակներ, օգտագործվել են դեղազգոնության համակարգի գնահատման համար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640A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 w:firstLine="567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133EA99B" w14:textId="77777777" w:rsidTr="002842CD">
        <w:trPr>
          <w:trHeight w:hRule="exact" w:val="1002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13920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27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>Ա.Ա</w:t>
            </w:r>
            <w:r w:rsidRPr="00237DD1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237DD1">
              <w:rPr>
                <w:rFonts w:ascii="GHEA Grapalat" w:hAnsi="GHEA Grapalat" w:cs="GHEA Grapalat"/>
                <w:sz w:val="20"/>
                <w:szCs w:val="24"/>
                <w:lang w:val="hy-AM"/>
              </w:rPr>
              <w:t>Հ</w:t>
            </w:r>
            <w:r w:rsidRPr="00237DD1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 xml:space="preserve">-ն և դեղազգոնության մասով պատասխանատու կամ որակավորված անձի գտնվելու վայրի հասցեն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92BB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 w:firstLine="567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6F901498" w14:textId="77777777" w:rsidTr="002842CD">
        <w:trPr>
          <w:trHeight w:hRule="exact" w:val="1134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D5388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27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 xml:space="preserve">Դեղի գրանցման հավաստագրի իրավատիրոջը դիտարկման հաշվետվության սկզբնական ներկայացման ամսաթիվը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A796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 w:firstLine="567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734F91E4" w14:textId="77777777" w:rsidTr="002842CD">
        <w:trPr>
          <w:trHeight w:hRule="exact" w:val="723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3038F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27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>Դեղի գրանցման հավաստագրի իրավատիրոջ կողմից պատասխան ներկայացվելու ժամկետը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C2DA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 w:firstLine="567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6FFBF56B" w14:textId="77777777" w:rsidTr="002842CD">
        <w:trPr>
          <w:trHeight w:hRule="exact" w:val="781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CC333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27" w:firstLine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0"/>
                <w:szCs w:val="24"/>
                <w:lang w:val="hy-AM"/>
              </w:rPr>
              <w:t>Դիտարկման հաշվետվության վերջնական խմբագրության ներկայացնելու ամսաթիվը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9609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6" w:firstLine="567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237DD1" w:rsidRPr="000904FC" w14:paraId="183CE3AA" w14:textId="77777777" w:rsidTr="002842CD">
        <w:trPr>
          <w:trHeight w:hRule="exact" w:val="673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30547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27" w:firstLine="0"/>
              <w:rPr>
                <w:rFonts w:ascii="GHEA Grapalat" w:hAnsi="GHEA Grapalat"/>
                <w:sz w:val="20"/>
                <w:szCs w:val="24"/>
              </w:rPr>
            </w:pP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Հաշվետվությունը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կազմվել</w:t>
            </w:r>
            <w:proofErr w:type="spellEnd"/>
            <w:r w:rsidRPr="000904FC">
              <w:rPr>
                <w:rFonts w:ascii="GHEA Grapalat" w:hAnsi="GHEA Grapalat"/>
                <w:sz w:val="20"/>
                <w:szCs w:val="24"/>
              </w:rPr>
              <w:t xml:space="preserve"> է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EE54EC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6" w:firstLine="0"/>
              <w:jc w:val="left"/>
              <w:rPr>
                <w:rFonts w:ascii="GHEA Grapalat" w:hAnsi="GHEA Grapalat"/>
                <w:sz w:val="20"/>
                <w:szCs w:val="24"/>
              </w:rPr>
            </w:pPr>
            <w:r w:rsidRPr="000904FC">
              <w:rPr>
                <w:rFonts w:ascii="GHEA Grapalat" w:hAnsi="GHEA Grapalat"/>
                <w:sz w:val="20"/>
                <w:szCs w:val="24"/>
              </w:rPr>
              <w:t>Ա. Ա</w:t>
            </w:r>
            <w:r w:rsidRPr="000904FC">
              <w:rPr>
                <w:rFonts w:ascii="Cambria Math" w:hAnsi="Cambria Math" w:cs="Cambria Math"/>
                <w:sz w:val="20"/>
                <w:szCs w:val="24"/>
              </w:rPr>
              <w:t>․</w:t>
            </w:r>
            <w:r w:rsidRPr="000904FC">
              <w:rPr>
                <w:rFonts w:ascii="GHEA Grapalat" w:hAnsi="GHEA Grapalat"/>
                <w:sz w:val="20"/>
                <w:szCs w:val="24"/>
              </w:rPr>
              <w:t xml:space="preserve"> </w:t>
            </w:r>
            <w:r w:rsidRPr="000904FC">
              <w:rPr>
                <w:rFonts w:ascii="GHEA Grapalat" w:hAnsi="GHEA Grapalat" w:cs="GHEA Grapalat"/>
                <w:sz w:val="20"/>
                <w:szCs w:val="24"/>
              </w:rPr>
              <w:t>Հ</w:t>
            </w:r>
            <w:r w:rsidRPr="000904FC">
              <w:rPr>
                <w:rFonts w:ascii="GHEA Grapalat" w:hAnsi="GHEA Grapalat"/>
                <w:sz w:val="20"/>
                <w:szCs w:val="24"/>
              </w:rPr>
              <w:t xml:space="preserve">.-ն </w:t>
            </w:r>
            <w:r w:rsidRPr="000904FC">
              <w:rPr>
                <w:rFonts w:ascii="GHEA Grapalat" w:hAnsi="GHEA Grapalat"/>
                <w:sz w:val="20"/>
                <w:szCs w:val="24"/>
              </w:rPr>
              <w:br/>
            </w:r>
            <w:proofErr w:type="spellStart"/>
            <w:r w:rsidRPr="000904FC">
              <w:rPr>
                <w:rFonts w:ascii="GHEA Grapalat" w:hAnsi="GHEA Grapalat"/>
                <w:sz w:val="20"/>
                <w:szCs w:val="24"/>
              </w:rPr>
              <w:t>պաշտոնը</w:t>
            </w:r>
            <w:proofErr w:type="spellEnd"/>
          </w:p>
        </w:tc>
      </w:tr>
    </w:tbl>
    <w:p w14:paraId="72F6A308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7AD96589" w14:textId="77777777" w:rsidR="00237DD1" w:rsidRPr="000904FC" w:rsidRDefault="00237DD1" w:rsidP="00237DD1">
      <w:pPr>
        <w:pStyle w:val="Bodytext20"/>
        <w:shd w:val="clear" w:color="auto" w:fill="auto"/>
        <w:tabs>
          <w:tab w:val="left" w:pos="1985"/>
        </w:tabs>
        <w:spacing w:before="0" w:after="160" w:line="276" w:lineRule="auto"/>
        <w:ind w:right="-8" w:firstLine="567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Բաժին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0904FC">
        <w:rPr>
          <w:rFonts w:ascii="GHEA Grapalat" w:hAnsi="GHEA Grapalat"/>
          <w:b/>
          <w:bCs/>
          <w:sz w:val="24"/>
          <w:szCs w:val="24"/>
        </w:rPr>
        <w:t>II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Ընդհանուր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տեղեկություններ</w:t>
      </w:r>
      <w:proofErr w:type="spellEnd"/>
    </w:p>
    <w:p w14:paraId="01192DE3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</w:rPr>
      </w:pPr>
      <w:r w:rsidRPr="000904FC">
        <w:rPr>
          <w:rFonts w:ascii="GHEA Grapalat" w:hAnsi="GHEA Grapalat"/>
          <w:sz w:val="24"/>
          <w:szCs w:val="24"/>
        </w:rPr>
        <w:t>1.</w:t>
      </w:r>
      <w:r w:rsidRPr="000904FC">
        <w:rPr>
          <w:rFonts w:ascii="GHEA Grapalat" w:hAnsi="GHEA Grapalat"/>
          <w:sz w:val="24"/>
          <w:szCs w:val="24"/>
        </w:rPr>
        <w:tab/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հիմքերը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904FC">
        <w:rPr>
          <w:rFonts w:ascii="GHEA Grapalat" w:hAnsi="GHEA Grapalat"/>
          <w:sz w:val="24"/>
          <w:szCs w:val="24"/>
        </w:rPr>
        <w:t>ծավալը</w:t>
      </w:r>
      <w:proofErr w:type="spellEnd"/>
    </w:p>
    <w:p w14:paraId="3E020D58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</w:rPr>
      </w:pPr>
      <w:r w:rsidRPr="000904FC">
        <w:rPr>
          <w:rFonts w:ascii="GHEA Grapalat" w:hAnsi="GHEA Grapalat"/>
          <w:sz w:val="24"/>
          <w:szCs w:val="24"/>
        </w:rPr>
        <w:t>2.</w:t>
      </w:r>
      <w:r w:rsidRPr="000904FC">
        <w:rPr>
          <w:rFonts w:ascii="GHEA Grapalat" w:hAnsi="GHEA Grapalat"/>
          <w:sz w:val="24"/>
          <w:szCs w:val="24"/>
        </w:rPr>
        <w:tab/>
      </w:r>
      <w:proofErr w:type="spellStart"/>
      <w:r w:rsidRPr="000904FC">
        <w:rPr>
          <w:rFonts w:ascii="GHEA Grapalat" w:hAnsi="GHEA Grapalat"/>
          <w:sz w:val="24"/>
          <w:szCs w:val="24"/>
        </w:rPr>
        <w:t>Նորմատիվ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իրավական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բազան</w:t>
      </w:r>
      <w:proofErr w:type="spellEnd"/>
    </w:p>
    <w:p w14:paraId="6FC6C56E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</w:rPr>
      </w:pPr>
      <w:r w:rsidRPr="000904FC">
        <w:rPr>
          <w:rFonts w:ascii="GHEA Grapalat" w:hAnsi="GHEA Grapalat"/>
          <w:sz w:val="24"/>
          <w:szCs w:val="24"/>
        </w:rPr>
        <w:t>3.</w:t>
      </w:r>
      <w:r w:rsidRPr="000904FC">
        <w:rPr>
          <w:rFonts w:ascii="GHEA Grapalat" w:hAnsi="GHEA Grapalat"/>
          <w:sz w:val="24"/>
          <w:szCs w:val="24"/>
        </w:rPr>
        <w:tab/>
      </w:r>
      <w:proofErr w:type="spellStart"/>
      <w:r w:rsidRPr="000904FC">
        <w:rPr>
          <w:rFonts w:ascii="GHEA Grapalat" w:hAnsi="GHEA Grapalat"/>
          <w:sz w:val="24"/>
          <w:szCs w:val="24"/>
        </w:rPr>
        <w:t>Ընդհանուր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Pr="000904FC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անցկացնելու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0904FC">
        <w:rPr>
          <w:rFonts w:ascii="GHEA Grapalat" w:hAnsi="GHEA Grapalat"/>
          <w:sz w:val="24"/>
          <w:szCs w:val="24"/>
        </w:rPr>
        <w:t xml:space="preserve"> </w:t>
      </w:r>
    </w:p>
    <w:p w14:paraId="3790F7CF" w14:textId="77777777" w:rsidR="00237DD1" w:rsidRPr="000904FC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Բաժին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0904FC">
        <w:rPr>
          <w:rFonts w:ascii="GHEA Grapalat" w:hAnsi="GHEA Grapalat"/>
          <w:b/>
          <w:bCs/>
          <w:sz w:val="24"/>
          <w:szCs w:val="24"/>
        </w:rPr>
        <w:t xml:space="preserve">III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Դիտարկում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անցած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դեղազգոնության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համակարգի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բաղադրիչների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ամփոփումը</w:t>
      </w:r>
      <w:proofErr w:type="spellEnd"/>
    </w:p>
    <w:tbl>
      <w:tblPr>
        <w:tblOverlap w:val="never"/>
        <w:tblW w:w="103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2"/>
        <w:gridCol w:w="1890"/>
        <w:gridCol w:w="14"/>
        <w:gridCol w:w="1688"/>
        <w:gridCol w:w="10"/>
        <w:gridCol w:w="1324"/>
        <w:gridCol w:w="851"/>
        <w:gridCol w:w="1134"/>
      </w:tblGrid>
      <w:tr w:rsidR="00237DD1" w:rsidRPr="000904FC" w14:paraId="3B7A7508" w14:textId="77777777" w:rsidTr="002842CD">
        <w:trPr>
          <w:trHeight w:hRule="exact" w:val="976"/>
          <w:tblHeader/>
          <w:jc w:val="center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F9AF0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Դեղազգոնության համակարգի բաղադրիչի անվանումը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7C1C0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Բաղադրիչի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գնահատումը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կատարելու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աստիճանը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10Tahoma"/>
                <w:rFonts w:ascii="GHEA Grapalat" w:hAnsi="GHEA Grapalat"/>
              </w:rPr>
              <w:t>(այո)</w:t>
            </w:r>
            <w:r w:rsidRPr="000904FC">
              <w:rPr>
                <w:rStyle w:val="FootnoteReference"/>
                <w:rFonts w:ascii="GHEA Grapalat" w:eastAsia="Tahoma" w:hAnsi="GHEA Grapalat" w:cs="Tahoma"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0D76A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Բաղադրիչի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գնահատումը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կատարելու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աստիճանը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(ոչ)</w:t>
            </w:r>
            <w:r w:rsidRPr="000904FC">
              <w:rPr>
                <w:rStyle w:val="FootnoteReference"/>
                <w:rFonts w:ascii="GHEA Grapalat" w:eastAsia="Arial Unicode MS" w:hAnsi="GHEA Grapalat"/>
                <w:sz w:val="20"/>
                <w:szCs w:val="20"/>
              </w:rPr>
              <w:footnoteReference w:customMarkFollows="1" w:id="2"/>
              <w:t>**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4D04E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Անհամապատասխանություններ(այո/ոչ)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80F29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Մեկնաբան-ություններ</w:t>
            </w:r>
          </w:p>
        </w:tc>
      </w:tr>
      <w:tr w:rsidR="00237DD1" w:rsidRPr="000904FC" w14:paraId="64C63E71" w14:textId="77777777" w:rsidTr="002842CD">
        <w:trPr>
          <w:trHeight w:hRule="exact" w:val="565"/>
          <w:tblHeader/>
          <w:jc w:val="center"/>
        </w:trPr>
        <w:tc>
          <w:tcPr>
            <w:tcW w:w="34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E8854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4DD8A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7E1D3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2D16B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կրիտիկական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8CFEF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խոշոր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DEA6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EF815D7" w14:textId="77777777" w:rsidTr="002842CD">
        <w:trPr>
          <w:trHeight w:hRule="exact" w:val="116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6AC4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367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1.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Դեղազգոնության մասով պատասխանատու կամ որակավորված</w:t>
            </w:r>
            <w:r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անձը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AA26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4B13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F717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1681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3A75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7D9A2CE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AB364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Որակավnրnւմը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0FED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C323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FAB8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4D07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EE87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65333A2" w14:textId="77777777" w:rsidTr="002842CD">
        <w:trPr>
          <w:trHeight w:hRule="exact" w:val="86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796CC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Պաշտոնեական պարտականությունները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0E16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42FB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67C2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4EE3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42B0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32C839E" w14:textId="77777777" w:rsidTr="002842CD">
        <w:trPr>
          <w:trHeight w:hRule="exact" w:val="684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0BF5E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Դեղազգոնության համակարգի հսկողությունը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A5A2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2793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13E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1FFE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2EDD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3BD066E" w14:textId="77777777" w:rsidTr="002842CD">
        <w:trPr>
          <w:trHeight w:hRule="exact" w:val="145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204C2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Ռեզերվային գործընթացները և</w:t>
            </w:r>
            <w:r w:rsidRPr="00237DD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պարտականությունների</w:t>
            </w:r>
            <w:r w:rsidRPr="00237DD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պատվիրակումը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D87C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FB11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9B59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853D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483B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F325BAB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575E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08DD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E18A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52E5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0823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18A4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39D7B4B7" w14:textId="77777777" w:rsidTr="002842CD">
        <w:trPr>
          <w:trHeight w:hRule="exact" w:val="691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3B0D2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371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2.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Դեղազգոնության համակարգի մաստեր-ֆայլը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525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A1C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10E0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463F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A9A8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4C85949" w14:textId="77777777" w:rsidTr="002842CD">
        <w:trPr>
          <w:trHeight w:hRule="exact" w:val="425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CB1BD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Ձևաչափը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B70A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DC46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5A34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5A32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BAC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6FEC1C4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632CE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Բովանդակությունը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7CC9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FDEA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39F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2652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FCB1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02E6E79" w14:textId="77777777" w:rsidTr="002842CD">
        <w:trPr>
          <w:trHeight w:hRule="exact" w:val="57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C5913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Վարումը և ներկայացումը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1F27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F7A6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86E1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4D8B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B260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2B44119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0FDEF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A9BE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BE43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E7F5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7643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CCD1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9ADC8F2" w14:textId="77777777" w:rsidTr="002842CD">
        <w:trPr>
          <w:trHeight w:hRule="exact" w:val="1366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224D7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371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lastRenderedPageBreak/>
              <w:t>3.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Ստանդարտ ընթացակարգեր (ստանդարտ գործառնական ընթացակարգեր (ՍԳԸ), ձեռնարկներ և այլն)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C0DE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D01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3AF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4783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599E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3BCC7EA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2D52F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Ընթացակարգերը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9742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983E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56A2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5B64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E9B6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E39E696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E1B78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Ուղեցույցները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0C50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36FE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8493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D45E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F8BF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A000FD0" w14:textId="77777777" w:rsidTr="002842CD">
        <w:trPr>
          <w:trHeight w:hRule="exact" w:val="1302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FF07E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Ստանդարտ գործառնական ընթացակարգերի ուսուցման գործընթացները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F01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D2FF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459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B49D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C4F0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82C3B84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B83B7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8E58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B963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F5C3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2149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C671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14F8566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42674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371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4.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Պայմանագրերը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D38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5F1E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CFB7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6C21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0D45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EEF0167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D4178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560E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33C4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B8E9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AE05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C882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E58408D" w14:textId="77777777" w:rsidTr="002842CD">
        <w:trPr>
          <w:trHeight w:hRule="exact" w:val="122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594BA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371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5.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Անվտանգության վերաբերյալ պարբերական թարմացվող հաշվետվությունը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761E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4064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1BB7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0BC3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22FF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33291C57" w14:textId="77777777" w:rsidTr="002842CD">
        <w:trPr>
          <w:trHeight w:hRule="exact" w:val="111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11ED0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Անվտանգության վերաբերյալ պարբերական թարմացվող հաշվետվության պլանավորումը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7F73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4CBA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5C67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BCCB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9BB0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341F9AA0" w14:textId="77777777" w:rsidTr="002842CD">
        <w:trPr>
          <w:trHeight w:hRule="exact" w:val="1242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107CD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Անվտանգության վերաբերյալ պարբերական թարմացվող հաշվետվության ձևաչափը և բովանդակությունը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5274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A68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1A42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2F92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C511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4B533E1" w14:textId="77777777" w:rsidTr="002842CD">
        <w:trPr>
          <w:trHeight w:hRule="exact" w:val="1322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BB99A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Անվտանգության վերաբերյալ պարբերական թարմացվող հաշվետվության որակի հսկողությունը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C1BB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116D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65FF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C7E7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C7F1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1C9DDA8" w14:textId="77777777" w:rsidTr="002842CD">
        <w:trPr>
          <w:trHeight w:hRule="exact" w:val="68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42F5C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Ժամանակին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ներկայացումը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9901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ADBD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0942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FABB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AD99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C873073" w14:textId="77777777" w:rsidTr="002842CD">
        <w:trPr>
          <w:trHeight w:hRule="exact" w:val="580"/>
          <w:jc w:val="center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9362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Անվտանգության վերաբերյալ պարբերական թարմացվող հաշվետվության գնահատման մեկնաբանությունները դիտարկման հաշվետվության մեջ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FFC0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5057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F8D8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66CE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D95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1DA7D54" w14:textId="77777777" w:rsidTr="002842CD">
        <w:trPr>
          <w:trHeight w:hRule="exact" w:val="1275"/>
          <w:jc w:val="center"/>
        </w:trPr>
        <w:tc>
          <w:tcPr>
            <w:tcW w:w="34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A89D0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5C8D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645C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0D30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D135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C530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B6FAF8F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6B90F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6617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61D7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8AF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4C6F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15D9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424BC58" w14:textId="77777777" w:rsidTr="002842CD">
        <w:trPr>
          <w:trHeight w:hRule="exact" w:val="684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EF529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371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6.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Ռիսկերի կառավարման համակարգը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01B8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D10F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198E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4558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0D91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38CF2203" w14:textId="77777777" w:rsidTr="002842CD">
        <w:trPr>
          <w:trHeight w:hRule="exact" w:val="77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A3AE9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lastRenderedPageBreak/>
              <w:t>Ռիսկերի կառավարման պլանի ձևաչափը և բովանդակությունը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C64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E40A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327D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CA03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B963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5AF18C2" w14:textId="77777777" w:rsidTr="002842CD">
        <w:trPr>
          <w:trHeight w:hRule="exact" w:val="845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898FD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Դեղազգոնության մասով լրացուցիչ միջոցառումների կատարումը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2223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6641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A288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1DE5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CAAB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B6C3689" w14:textId="77777777" w:rsidTr="002842CD">
        <w:trPr>
          <w:trHeight w:hRule="exact" w:val="1281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5AD3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 xml:space="preserve">Ռիսկի նվազեցման միջոցների մասով լրացուցիչ միջոցառումների կատարումը 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99B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967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5015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028B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7A9D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A07D1A2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508E7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454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6B4C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2F2C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12D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390D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4315440" w14:textId="77777777" w:rsidTr="002842CD">
        <w:trPr>
          <w:trHeight w:hRule="exact" w:val="1501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0BA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480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7.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Անցանկալի ռեակցիաների վերաբերյալ անհատական հաղորդումների հետ աշխատանքի կազմակերպումը (ԱՌԱՀ)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6747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ECEC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529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CFC5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86F4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AC31359" w14:textId="77777777" w:rsidTr="002842CD">
        <w:trPr>
          <w:trHeight w:hRule="exact" w:val="1663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9FF35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Անցանկալի ռեակցիաների մասին անհատական հաղորդումների ստացումը բոլոր աղբյուրներից, տվյալների միասնական բազաների վարումը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539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2CE2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C486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33A4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007A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373930D2" w14:textId="77777777" w:rsidTr="002842CD">
        <w:trPr>
          <w:trHeight w:hRule="exact" w:val="114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0A36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Լրջության, պատճառահետևանքային կապի և կանխատեսելիության գնահատումը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67B0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AB5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BDC6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262C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481E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0DA32AD" w14:textId="77777777" w:rsidTr="002842CD">
        <w:trPr>
          <w:trHeight w:hRule="exact" w:val="83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CC52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Բժշկական գնահատման կատարումը և MedDRA-ով ծածկագրումը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52C1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896E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269E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55CB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1DEB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F66A53D" w14:textId="77777777" w:rsidTr="002842CD">
        <w:trPr>
          <w:trHeight w:hRule="exact" w:val="71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6FE2D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Որակի հսկողության գործընթացը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1CA5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BEB6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1D38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D0CC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1131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39A2D3B" w14:textId="77777777" w:rsidTr="002842CD">
        <w:trPr>
          <w:trHeight w:hRule="exact" w:val="1131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DD201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Անցանկալի ռեակցիաների մասին անհատական հաղորդումների ներկայացման</w:t>
            </w:r>
            <w:r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գործընթացը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E36B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6202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A82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7D9F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1F32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A1707FA" w14:textId="77777777" w:rsidTr="002842CD">
        <w:trPr>
          <w:trHeight w:hRule="exact" w:val="170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1943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Անցանկալի ռեակցիաների մասին անհատական հաղորդումների վերաբերյալ լրացուցիչ տեղեկատվություն ստանալու գործընթացը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3D73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505F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2C78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D1DA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7251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1A488FA" w14:textId="77777777" w:rsidTr="002842CD">
        <w:trPr>
          <w:trHeight w:hRule="exact" w:val="197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9B7D9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lastRenderedPageBreak/>
              <w:t>Ոչ ինտերվենցիոն հետազոտությունների և ոչ ինտերվենցիոն այլ ծրագրերի ընթացքում անցանկալի ռեակցիաների (ԱՌ) մասին հաղորդումների ներկայացումը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EB1E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B11D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D87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BC7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1FD7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C2FBAFC" w14:textId="77777777" w:rsidTr="002842CD">
        <w:trPr>
          <w:trHeight w:hRule="exact" w:val="100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7D01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Բժշկական</w:t>
            </w:r>
            <w:r w:rsidRPr="00237DD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գիտական գրականության սիստեմատիկ ամփոփումը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7B49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7C65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0EE5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5623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6B30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8106972" w14:textId="77777777" w:rsidTr="002842CD">
        <w:trPr>
          <w:trHeight w:hRule="exact" w:val="56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53767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B4CC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E1AE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B063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D80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D7EA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00A1E7A" w14:textId="77777777" w:rsidTr="002842CD">
        <w:trPr>
          <w:trHeight w:hRule="exact" w:val="1594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9E44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430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8.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Դեղազգոնության համակարգի կողմից օգտագործվող համակարգչայնացված համակարգերը և տվյալների բազաները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8260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8B70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2A6D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7666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FCD7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0524E77" w14:textId="77777777" w:rsidTr="002842CD">
        <w:trPr>
          <w:trHeight w:hRule="exact" w:val="1336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01CC4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Համակարգչայնացված համակարգերի</w:t>
            </w:r>
            <w:r w:rsidRPr="00237DD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և տվյալների բազաների աշխատանքի ապահովման գործընթացը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5B0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BFA0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2942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D1A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97E6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F957579" w14:textId="77777777" w:rsidTr="002842CD">
        <w:trPr>
          <w:trHeight w:hRule="exact" w:val="106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91568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Նպատակներին համապատասխանության հաստատումը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6F91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EDE0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91B0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F671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38F8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307AD33" w14:textId="77777777" w:rsidTr="002842CD">
        <w:trPr>
          <w:trHeight w:hRule="exact" w:val="1424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8777B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Պահուստային պատճենումը և տվյալների բազաների վերականգնման երաշխիքը վնասվելու դեպքում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C58F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DC6C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0CD3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C8A0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8BF8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F281442" w14:textId="77777777" w:rsidTr="002842CD">
        <w:trPr>
          <w:trHeight w:hRule="exact" w:val="716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C68C1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Տվյալների բազայի տեղափոխման գործընթացը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B64D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7825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F0F7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1A20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2815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295BAD6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E1046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347A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01BF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CE3B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A96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BE0A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BEE8741" w14:textId="77777777" w:rsidTr="002842CD">
        <w:trPr>
          <w:trHeight w:hRule="exact" w:val="67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D739F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354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9.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Կլինիկական հետազոտությունները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9400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9246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66C8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EE44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7E16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AF1CCE5" w14:textId="77777777" w:rsidTr="002842CD">
        <w:trPr>
          <w:trHeight w:hRule="exact" w:val="1456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79EDA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Լուրջ անկանխատեսելի, անցանկալի ռեակցիաների մասին հաղորդագրությունների ներկայացումը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6140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AE35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0BDD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10D7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E9F4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9197E8F" w14:textId="77777777" w:rsidTr="002842CD">
        <w:trPr>
          <w:trHeight w:hRule="exact" w:val="1674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E666D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lastRenderedPageBreak/>
              <w:t>Հետազոտողի բրոշյուրում պարունակվող</w:t>
            </w:r>
            <w:r w:rsidRPr="00237DD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տեղեկատվության</w:t>
            </w:r>
            <w:r w:rsidRPr="00237DD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համաձայնեցվածությունը գրանցված դեղերի համար դեղի ընդհանուր բնութագրի հետ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C398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84A1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EF77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9A43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EC7F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75E5329" w14:textId="77777777" w:rsidTr="002842CD">
        <w:trPr>
          <w:trHeight w:hRule="exact" w:val="229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9004E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Կլինիկական հետազոտությունների ընթացքում լուրջ անցանկալի երևույթների մասին տեղեկատվության և դեղազգոնության մասով տվյալների բազայում պարունակվող տեղեկատվության համեմատումը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D675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20E2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6030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FE07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4027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BA0D1DF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928E2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2298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58E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F00C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E16D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EADD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D46F642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04902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455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10.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Ազդանշանի կառավարումը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D81E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D734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B538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FACB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0F5E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AF2A46C" w14:textId="77777777" w:rsidTr="002842CD">
        <w:trPr>
          <w:trHeight w:hRule="exact" w:val="1883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24387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Ազդանշանի հայտնաբերման ընթացակարգի մեջ ներառվող՝ անվտանգության վերաբերյալ տեղեկատվության աղբյուրները (տեղեկատվության ներառումը բոլոր համապատասխան աղբյուրներից)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56E2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ECAE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A840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84D1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28D4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85B1CA8" w14:textId="77777777" w:rsidTr="002842CD">
        <w:trPr>
          <w:trHeight w:hRule="exact" w:val="734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AB5F2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 xml:space="preserve">Տվյալների ամփոփումը կատարելու պարբերականությունը 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308B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21B7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720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B38D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F401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38CD6BF0" w14:textId="77777777" w:rsidTr="002842CD">
        <w:trPr>
          <w:trHeight w:hRule="exact" w:val="575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7327F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Ագրեգացված տվյալների ամփոփումը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912C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2DBB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2A3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449E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53A6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D884B95" w14:textId="77777777" w:rsidTr="002842CD">
        <w:trPr>
          <w:trHeight w:hRule="exact" w:val="68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A1CA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Ազդանշանների մշակման գործընթացների կատարումը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5A6C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C562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19D3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8FD4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A674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7F6F02E" w14:textId="77777777" w:rsidTr="002842CD">
        <w:trPr>
          <w:trHeight w:hRule="exact" w:val="1145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88695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Դեղի ընդհանուր բնութագրի և դեղի բժշկական կիրառման հրահանգի</w:t>
            </w:r>
            <w:r w:rsidRPr="00237DD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ժամանակին թարմացումը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FEF8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4C90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0500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0C5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33F7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8261E4E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EBC7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A0DA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BA4A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774D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AA2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EAE0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38908168" w14:textId="77777777" w:rsidTr="002842CD">
        <w:trPr>
          <w:trHeight w:hRule="exact" w:val="484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543D1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379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11.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Դեղերի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որակը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78C9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8F9E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91C8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D3D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78BF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F0A71A2" w14:textId="77777777" w:rsidTr="002842CD">
        <w:trPr>
          <w:trHeight w:hRule="exact" w:val="95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138FE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Որակի շեղումների մասին տվյալների ամփոփումը և միտումների վերլուծությունը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235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BB95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2DD9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B81E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386E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564E935" w14:textId="77777777" w:rsidTr="002842CD">
        <w:trPr>
          <w:trHeight w:hRule="exact" w:val="223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60C20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lastRenderedPageBreak/>
              <w:t>Դեղի որակի անհամապատասխանության վերաբերյալ դիմումների մասին տվյալների և տվյալների բազայում պարունակվող՝ անվտանգության վերաբերյալ տեղեկատվության համաձայնեցվածությունը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BEAE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FCAD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0D3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8EDE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B27D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ABDC978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35844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E038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9BE7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8B9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0F2F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53EF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2D3349FE" w14:textId="77777777" w:rsidTr="002842CD">
        <w:trPr>
          <w:trHeight w:hRule="exact" w:val="72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6F9D4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367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12.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Դեղազգոնության համակարգի տվյալների արխիվացումը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B0FC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513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7CB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FCBE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F3F1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87945BC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4E72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Գրառումների կառավարումը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0359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4DB5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76C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EE37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A2BA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D0AF55C" w14:textId="77777777" w:rsidTr="002842CD">
        <w:trPr>
          <w:trHeight w:hRule="exact" w:val="634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339C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Արխիվացումն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ապահովող</w:t>
            </w:r>
            <w:r w:rsidRPr="000904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միջոցների գնահատումը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BA3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ABCC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A145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F77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564D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F731727" w14:textId="77777777" w:rsidTr="002842CD">
        <w:trPr>
          <w:trHeight w:hRule="exact" w:val="41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8F0E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3F49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BED6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01F8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648F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A448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A46C85F" w14:textId="77777777" w:rsidTr="002842CD">
        <w:trPr>
          <w:trHeight w:hRule="exact" w:val="67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0A9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371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13.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Դեղազգոնության համակարգի որակի կառավարման համակարգը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FDB8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600F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F062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BCF8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51AE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5F50102" w14:textId="77777777" w:rsidTr="002842CD">
        <w:trPr>
          <w:trHeight w:val="2022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A8E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Դեղազգոնության համակարգի որակի համակարգը և</w:t>
            </w:r>
            <w:r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 xml:space="preserve"> 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օրենսդրության պահանջներին դեղազգոնության համակարգի համապատասխանության կառավարումը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A395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726C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8A95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65C2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9C34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A534993" w14:textId="77777777" w:rsidTr="002842CD">
        <w:trPr>
          <w:trHeight w:hRule="exact" w:val="123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4ACED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 xml:space="preserve">Դեղազգոնության մասով գործունեություն իրականացնելու համար միջոցները և սարքավորումները 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ADC0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81A3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36F4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FC2F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759F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E2AC0C7" w14:textId="77777777" w:rsidTr="002842CD">
        <w:trPr>
          <w:trHeight w:hRule="exact" w:val="1320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A5502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Դեղազգոնության համակարգի աուդիտը (ներքին և արտաքին) և շտկող ու կանխարգելիչ միջոցառումների գործընթացը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C07F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976B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B9C2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3A7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607E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B9A0A76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25641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3CBC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DC57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6D0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9CB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AB7C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B5B49E4" w14:textId="77777777" w:rsidTr="002842CD">
        <w:trPr>
          <w:trHeight w:hRule="exact" w:val="68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04CA6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517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14.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Դեղազգոնության գծով ուսուցումը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958D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2167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464F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319A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ACF3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5A1E54F" w14:textId="77777777" w:rsidTr="002842CD">
        <w:trPr>
          <w:trHeight w:hRule="exact" w:val="50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E876B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Ներածական և հետագա ուսուցումը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FAA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67A6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1DD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D433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9251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84C266E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6F9BD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Ուսուցման գնահատումը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7B32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1DEA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7789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952F4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0334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AF50B69" w14:textId="77777777" w:rsidTr="002842CD">
        <w:trPr>
          <w:trHeight w:hRule="exact" w:val="68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AF233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Ուսուցման հետ կապված գրառումների վարումը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A6DC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14A9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6AB7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DBC3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97F4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601976B9" w14:textId="77777777" w:rsidTr="002842CD">
        <w:trPr>
          <w:trHeight w:hRule="exact" w:val="40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603B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FB44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35FD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1358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EE47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E94A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265120F" w14:textId="77777777" w:rsidTr="002842CD">
        <w:trPr>
          <w:trHeight w:hRule="exact" w:val="965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C8FEB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455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lastRenderedPageBreak/>
              <w:t>15.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Կարգավորիչ հարցերը և կազմակերպության հետ համագործակցությունը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9F5C0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5964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1E46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3098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11A92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16AA7865" w14:textId="77777777" w:rsidTr="002842CD">
        <w:trPr>
          <w:trHeight w:hRule="exact" w:val="745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273B5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Դեղի վերաբերյալ տեղեկատվության մշակումը և թարմացումը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DD1AE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1BB6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F4B4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2CC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82E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520A5377" w14:textId="77777777" w:rsidTr="002842CD">
        <w:trPr>
          <w:trHeight w:hRule="exact" w:val="68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97A4F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Կազմակերպության հարցումների պատասխանները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E45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CDE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9BB4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2D695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EDDA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06CC1F95" w14:textId="77777777" w:rsidTr="002842CD">
        <w:trPr>
          <w:trHeight w:hRule="exact" w:val="425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0E979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Այլ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9C0B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30CC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D7E6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77FB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BC68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D03DD7E" w14:textId="77777777" w:rsidTr="002842CD">
        <w:trPr>
          <w:trHeight w:hRule="exact" w:val="481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4583D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567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16.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Բժշկական տեղեկատվությունը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1671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D7AD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DCD88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B16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6B7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7BFA655E" w14:textId="77777777" w:rsidTr="002842CD">
        <w:trPr>
          <w:trHeight w:hRule="exact" w:val="1672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1121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Բժշկական տեղեկատվության և անվտանգության վերաբերյալ տվյալների բազայում պարունակվող տեղեկատվության վերաբերյալ հարցումների համեմատումը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ED71C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F28E3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04C8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4BC7F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02BBA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DD1" w:rsidRPr="000904FC" w14:paraId="4E3FF39F" w14:textId="77777777" w:rsidTr="002842CD">
        <w:trPr>
          <w:trHeight w:hRule="exact" w:val="979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FCF71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492"/>
                <w:tab w:val="left" w:pos="1134"/>
              </w:tabs>
              <w:spacing w:before="0" w:after="120" w:line="276" w:lineRule="auto"/>
              <w:ind w:right="-8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>17.</w:t>
            </w:r>
            <w:r w:rsidRPr="000904FC">
              <w:rPr>
                <w:rStyle w:val="Bodytext212pt"/>
                <w:rFonts w:ascii="GHEA Grapalat" w:eastAsia="Tahoma" w:hAnsi="GHEA Grapalat"/>
                <w:sz w:val="20"/>
                <w:szCs w:val="20"/>
              </w:rPr>
              <w:tab/>
              <w:t>Լրացուցիչ բաղադրիչները (առկայության դեպքում)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60B7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31099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0B027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2713B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AC96" w14:textId="77777777" w:rsidR="00237DD1" w:rsidRPr="000904FC" w:rsidRDefault="00237DD1" w:rsidP="002842CD">
            <w:pPr>
              <w:tabs>
                <w:tab w:val="left" w:pos="1134"/>
              </w:tabs>
              <w:spacing w:after="120" w:line="276" w:lineRule="auto"/>
              <w:ind w:right="-8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067201CB" w14:textId="77777777" w:rsidR="00237DD1" w:rsidRPr="000904FC" w:rsidRDefault="00237DD1" w:rsidP="00237DD1">
      <w:pPr>
        <w:pStyle w:val="Bodytext5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jc w:val="both"/>
        <w:rPr>
          <w:rFonts w:ascii="GHEA Grapalat" w:hAnsi="GHEA Grapalat"/>
        </w:rPr>
      </w:pPr>
    </w:p>
    <w:p w14:paraId="5EBB72DB" w14:textId="77777777" w:rsidR="00237DD1" w:rsidRPr="000904FC" w:rsidRDefault="00237DD1" w:rsidP="00237DD1">
      <w:pPr>
        <w:pStyle w:val="Bodytext20"/>
        <w:shd w:val="clear" w:color="auto" w:fill="auto"/>
        <w:tabs>
          <w:tab w:val="left" w:pos="1985"/>
        </w:tabs>
        <w:spacing w:before="0" w:after="160" w:line="276" w:lineRule="auto"/>
        <w:ind w:right="-8" w:firstLine="567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Բաժին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IV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Հայտնաբերված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թերությունները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 xml:space="preserve"> (</w:t>
      </w:r>
      <w:proofErr w:type="spellStart"/>
      <w:r w:rsidRPr="000904FC">
        <w:rPr>
          <w:rFonts w:ascii="GHEA Grapalat" w:hAnsi="GHEA Grapalat"/>
          <w:b/>
          <w:bCs/>
          <w:sz w:val="24"/>
          <w:szCs w:val="24"/>
        </w:rPr>
        <w:t>անհամապատասխանությունները</w:t>
      </w:r>
      <w:proofErr w:type="spellEnd"/>
      <w:r w:rsidRPr="000904FC">
        <w:rPr>
          <w:rFonts w:ascii="GHEA Grapalat" w:hAnsi="GHEA Grapalat"/>
          <w:b/>
          <w:bCs/>
          <w:sz w:val="24"/>
          <w:szCs w:val="24"/>
        </w:rPr>
        <w:t>)</w:t>
      </w:r>
    </w:p>
    <w:p w14:paraId="5832188B" w14:textId="77777777" w:rsidR="00237DD1" w:rsidRPr="000904FC" w:rsidRDefault="00237DD1" w:rsidP="00237DD1">
      <w:pPr>
        <w:pStyle w:val="Bodytext20"/>
        <w:shd w:val="clear" w:color="auto" w:fill="auto"/>
        <w:tabs>
          <w:tab w:val="left" w:pos="1985"/>
        </w:tabs>
        <w:spacing w:before="0" w:after="160" w:line="276" w:lineRule="auto"/>
        <w:ind w:right="-8" w:firstLine="567"/>
        <w:jc w:val="left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64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6"/>
        <w:gridCol w:w="2250"/>
        <w:gridCol w:w="3841"/>
      </w:tblGrid>
      <w:tr w:rsidR="00237DD1" w:rsidRPr="000904FC" w14:paraId="4DF72678" w14:textId="77777777" w:rsidTr="002842CD">
        <w:trPr>
          <w:trHeight w:hRule="exact" w:val="1211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764C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904FC">
              <w:rPr>
                <w:rFonts w:ascii="GHEA Grapalat" w:hAnsi="GHEA Grapalat"/>
                <w:sz w:val="24"/>
                <w:szCs w:val="24"/>
              </w:rPr>
              <w:t>Թերության</w:t>
            </w:r>
            <w:proofErr w:type="spellEnd"/>
            <w:r w:rsidRPr="000904F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0904FC">
              <w:rPr>
                <w:rFonts w:ascii="GHEA Grapalat" w:hAnsi="GHEA Grapalat"/>
                <w:sz w:val="24"/>
                <w:szCs w:val="24"/>
              </w:rPr>
              <w:t>անհամապատասխանության</w:t>
            </w:r>
            <w:proofErr w:type="spellEnd"/>
            <w:r w:rsidRPr="000904F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0904FC">
              <w:rPr>
                <w:rFonts w:ascii="GHEA Grapalat" w:hAnsi="GHEA Grapalat"/>
                <w:sz w:val="24"/>
                <w:szCs w:val="24"/>
              </w:rPr>
              <w:t>դասը</w:t>
            </w:r>
            <w:proofErr w:type="spellEnd"/>
          </w:p>
          <w:p w14:paraId="1B9B075F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i/>
                <w:iCs/>
                <w:sz w:val="24"/>
                <w:szCs w:val="24"/>
              </w:rPr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67F1C" w14:textId="77777777" w:rsidR="00237DD1" w:rsidRPr="000904FC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proofErr w:type="spellStart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>Յուրաքանչյուր</w:t>
            </w:r>
            <w:proofErr w:type="spellEnd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>թերության</w:t>
            </w:r>
            <w:proofErr w:type="spellEnd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>համար</w:t>
            </w:r>
            <w:proofErr w:type="spellEnd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>լրացվում</w:t>
            </w:r>
            <w:proofErr w:type="spellEnd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է </w:t>
            </w:r>
            <w:proofErr w:type="spellStart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>առանձին</w:t>
            </w:r>
            <w:proofErr w:type="spellEnd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04FC">
              <w:rPr>
                <w:rFonts w:ascii="GHEA Grapalat" w:hAnsi="GHEA Grapalat"/>
                <w:i/>
                <w:iCs/>
                <w:sz w:val="24"/>
                <w:szCs w:val="24"/>
              </w:rPr>
              <w:t>աղյուսակ</w:t>
            </w:r>
            <w:proofErr w:type="spellEnd"/>
          </w:p>
        </w:tc>
      </w:tr>
      <w:tr w:rsidR="00237DD1" w:rsidRPr="000904FC" w14:paraId="117F85B2" w14:textId="77777777" w:rsidTr="002842CD">
        <w:trPr>
          <w:trHeight w:hRule="exact" w:val="989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BA682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t xml:space="preserve">Թերության (անհամապատասխանության) նկարագրությունը </w:t>
            </w: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(նշվում են թերության (անհամապատասխանության) սահմանման հիմքերը՝ ՊԴԳ կանոնների համաձայն)</w:t>
            </w:r>
          </w:p>
        </w:tc>
      </w:tr>
      <w:tr w:rsidR="00237DD1" w:rsidRPr="000904FC" w14:paraId="0B38E374" w14:textId="77777777" w:rsidTr="002842CD">
        <w:trPr>
          <w:trHeight w:hRule="exact" w:val="802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8C78B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t>Թերության (անհամապատասխանության) պատճառի սահմանումը</w:t>
            </w:r>
          </w:p>
          <w:p w14:paraId="714BFD14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(լրացվում է դեղի գրանցման հավաստագրի իրավատիրոջ կողմից)</w:t>
            </w:r>
          </w:p>
        </w:tc>
      </w:tr>
      <w:tr w:rsidR="00237DD1" w:rsidRPr="000904FC" w14:paraId="61D6885B" w14:textId="77777777" w:rsidTr="002842CD">
        <w:trPr>
          <w:trHeight w:hRule="exact" w:val="856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A7DEF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t>Հետագա գնահատումը</w:t>
            </w:r>
          </w:p>
          <w:p w14:paraId="163DF46C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(լրացվում է դեղի գրանցման հավաստագրի իրավատիրոջ կողմից)</w:t>
            </w:r>
          </w:p>
        </w:tc>
      </w:tr>
      <w:tr w:rsidR="00237DD1" w:rsidRPr="000904FC" w14:paraId="312CF1B1" w14:textId="77777777" w:rsidTr="002842CD">
        <w:trPr>
          <w:trHeight w:hRule="exact" w:val="854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A02F1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t>Թերության վերացման միջոցառումները</w:t>
            </w:r>
          </w:p>
          <w:p w14:paraId="128FC95F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(լրացվում է դեղի գրանցման հավաստագրի իրավատիրոջ կողմից)</w:t>
            </w:r>
          </w:p>
        </w:tc>
      </w:tr>
      <w:tr w:rsidR="00237DD1" w:rsidRPr="000904FC" w14:paraId="0F151804" w14:textId="77777777" w:rsidTr="002842CD">
        <w:trPr>
          <w:trHeight w:hRule="exact" w:val="1536"/>
        </w:trPr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0E546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Գործնականում ստացված արդյունքները </w:t>
            </w: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(ըստ (լրացվում է դեղի գրանցման հավաստագրի իրավատիրոջ կողմից)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87D54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t>Կատարման ամսաթիվը</w:t>
            </w:r>
          </w:p>
          <w:p w14:paraId="22DCE39F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(լրացվում է դեղի գրանցման հավաստագրի իրավատիրոջ կողմից)</w:t>
            </w:r>
          </w:p>
        </w:tc>
      </w:tr>
      <w:tr w:rsidR="00237DD1" w:rsidRPr="000904FC" w14:paraId="5F08A08B" w14:textId="77777777" w:rsidTr="002842CD">
        <w:trPr>
          <w:trHeight w:hRule="exact" w:val="856"/>
        </w:trPr>
        <w:tc>
          <w:tcPr>
            <w:tcW w:w="9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70F58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t>Կանխարգելման միջոցառումները</w:t>
            </w:r>
          </w:p>
          <w:p w14:paraId="3C247E28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(լրացվում է դեղի գրանցման հավաստագրի իրավատիրոջ կողմից)</w:t>
            </w:r>
          </w:p>
        </w:tc>
      </w:tr>
      <w:tr w:rsidR="00237DD1" w:rsidRPr="000904FC" w14:paraId="51AE38F5" w14:textId="77777777" w:rsidTr="002842CD">
        <w:trPr>
          <w:trHeight w:hRule="exact" w:val="1265"/>
        </w:trPr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3D06E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Գործնականում ստացված արդյունքները </w:t>
            </w: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(ըստ (լրացվում է դեղի գրանցման հավաստագրի իրավատիրոջ կողմից)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0074B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7DD1">
              <w:rPr>
                <w:rFonts w:ascii="GHEA Grapalat" w:hAnsi="GHEA Grapalat"/>
                <w:sz w:val="24"/>
                <w:szCs w:val="24"/>
                <w:lang w:val="hy-AM"/>
              </w:rPr>
              <w:t>Կատարման ամսաթիվը</w:t>
            </w:r>
          </w:p>
          <w:p w14:paraId="4904A156" w14:textId="77777777" w:rsidR="00237DD1" w:rsidRPr="00237DD1" w:rsidRDefault="00237DD1" w:rsidP="002842C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04FC">
              <w:rPr>
                <w:rStyle w:val="Bodytext2Italic"/>
                <w:rFonts w:ascii="GHEA Grapalat" w:hAnsi="GHEA Grapalat"/>
                <w:sz w:val="24"/>
                <w:szCs w:val="24"/>
              </w:rPr>
              <w:t>(լրացվում է դեղի գրանցման հավաստագրի իրավատիրոջ կողմից)</w:t>
            </w:r>
          </w:p>
        </w:tc>
      </w:tr>
    </w:tbl>
    <w:p w14:paraId="23CBEB3E" w14:textId="77777777" w:rsidR="00237DD1" w:rsidRPr="00237DD1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10C7400" w14:textId="77777777" w:rsidR="00237DD1" w:rsidRPr="00237DD1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37DD1">
        <w:rPr>
          <w:rFonts w:ascii="GHEA Grapalat" w:hAnsi="GHEA Grapalat"/>
          <w:b/>
          <w:bCs/>
          <w:sz w:val="24"/>
          <w:szCs w:val="24"/>
          <w:lang w:val="hy-AM"/>
        </w:rPr>
        <w:t>Բաժին V</w:t>
      </w:r>
    </w:p>
    <w:p w14:paraId="35CB12F8" w14:textId="77777777" w:rsidR="00237DD1" w:rsidRPr="00237DD1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1.</w:t>
      </w:r>
      <w:r w:rsidRPr="00237DD1">
        <w:rPr>
          <w:rFonts w:ascii="GHEA Grapalat" w:hAnsi="GHEA Grapalat"/>
          <w:sz w:val="24"/>
          <w:szCs w:val="24"/>
          <w:lang w:val="hy-AM"/>
        </w:rPr>
        <w:tab/>
        <w:t>Եզրակացություն</w:t>
      </w:r>
    </w:p>
    <w:p w14:paraId="4AA38E4F" w14:textId="77777777" w:rsidR="00237DD1" w:rsidRPr="00237DD1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2</w:t>
      </w:r>
      <w:r w:rsidRPr="00237DD1">
        <w:rPr>
          <w:rFonts w:ascii="Cambria Math" w:hAnsi="Cambria Math" w:cs="Cambria Math"/>
          <w:sz w:val="24"/>
          <w:szCs w:val="24"/>
          <w:lang w:val="hy-AM"/>
        </w:rPr>
        <w:t>․</w:t>
      </w:r>
      <w:r w:rsidRPr="00237DD1">
        <w:rPr>
          <w:rFonts w:ascii="GHEA Grapalat" w:hAnsi="GHEA Grapalat"/>
          <w:sz w:val="24"/>
          <w:szCs w:val="24"/>
          <w:lang w:val="hy-AM"/>
        </w:rPr>
        <w:tab/>
        <w:t>Առաջարկություններ</w:t>
      </w:r>
    </w:p>
    <w:p w14:paraId="7F973AD9" w14:textId="77777777" w:rsidR="00237DD1" w:rsidRPr="00237DD1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3</w:t>
      </w:r>
      <w:r w:rsidRPr="00237DD1">
        <w:rPr>
          <w:rFonts w:ascii="Cambria Math" w:hAnsi="Cambria Math" w:cs="Cambria Math"/>
          <w:sz w:val="24"/>
          <w:szCs w:val="24"/>
          <w:lang w:val="hy-AM"/>
        </w:rPr>
        <w:t>․</w:t>
      </w:r>
      <w:r w:rsidRPr="00237DD1">
        <w:rPr>
          <w:rFonts w:ascii="GHEA Grapalat" w:hAnsi="GHEA Grapalat"/>
          <w:sz w:val="24"/>
          <w:szCs w:val="24"/>
          <w:lang w:val="hy-AM"/>
        </w:rPr>
        <w:tab/>
        <w:t>Փորձագետների կողմից դիտարկվող կողմի պատասխանների գնահատումը</w:t>
      </w:r>
    </w:p>
    <w:p w14:paraId="67B981FA" w14:textId="77777777" w:rsidR="00237DD1" w:rsidRPr="00237DD1" w:rsidRDefault="00237DD1" w:rsidP="00237DD1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right="-8" w:firstLine="567"/>
        <w:rPr>
          <w:rFonts w:ascii="GHEA Grapalat" w:hAnsi="GHEA Grapalat"/>
          <w:sz w:val="24"/>
          <w:szCs w:val="24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4</w:t>
      </w:r>
      <w:r w:rsidRPr="00237DD1">
        <w:rPr>
          <w:rFonts w:ascii="Cambria Math" w:hAnsi="Cambria Math" w:cs="Cambria Math"/>
          <w:sz w:val="24"/>
          <w:szCs w:val="24"/>
          <w:lang w:val="hy-AM"/>
        </w:rPr>
        <w:t>․</w:t>
      </w:r>
      <w:r w:rsidRPr="00237DD1">
        <w:rPr>
          <w:rFonts w:ascii="GHEA Grapalat" w:hAnsi="GHEA Grapalat"/>
          <w:sz w:val="24"/>
          <w:szCs w:val="24"/>
          <w:lang w:val="hy-AM"/>
        </w:rPr>
        <w:tab/>
        <w:t xml:space="preserve">Եզրահանգումներ և առաջարկություններ </w:t>
      </w:r>
    </w:p>
    <w:p w14:paraId="52BC4A6E" w14:textId="77777777" w:rsidR="00237DD1" w:rsidRPr="00237DD1" w:rsidRDefault="00237DD1" w:rsidP="00237DD1">
      <w:pPr>
        <w:pStyle w:val="Bodytext20"/>
        <w:shd w:val="clear" w:color="auto" w:fill="auto"/>
        <w:tabs>
          <w:tab w:val="left" w:pos="1701"/>
        </w:tabs>
        <w:spacing w:before="0" w:after="160" w:line="276" w:lineRule="auto"/>
        <w:ind w:right="-8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C804C68" w14:textId="77777777" w:rsidR="00237DD1" w:rsidRPr="00237DD1" w:rsidRDefault="00237DD1" w:rsidP="00237DD1">
      <w:pPr>
        <w:pStyle w:val="Bodytext20"/>
        <w:shd w:val="clear" w:color="auto" w:fill="auto"/>
        <w:tabs>
          <w:tab w:val="left" w:pos="1701"/>
        </w:tabs>
        <w:spacing w:before="0" w:after="160" w:line="276" w:lineRule="auto"/>
        <w:ind w:right="-8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37DD1">
        <w:rPr>
          <w:rFonts w:ascii="GHEA Grapalat" w:hAnsi="GHEA Grapalat"/>
          <w:b/>
          <w:bCs/>
          <w:sz w:val="24"/>
          <w:szCs w:val="24"/>
          <w:lang w:val="hy-AM"/>
        </w:rPr>
        <w:t>Բաժին VI</w:t>
      </w:r>
    </w:p>
    <w:p w14:paraId="01000196" w14:textId="77777777" w:rsidR="00237DD1" w:rsidRPr="00237DD1" w:rsidRDefault="00237DD1" w:rsidP="00237DD1">
      <w:pPr>
        <w:pStyle w:val="Bodytext20"/>
        <w:shd w:val="clear" w:color="auto" w:fill="auto"/>
        <w:tabs>
          <w:tab w:val="left" w:pos="1701"/>
        </w:tabs>
        <w:spacing w:before="0" w:after="160" w:line="276" w:lineRule="auto"/>
        <w:ind w:right="-8" w:firstLine="567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237DD1">
        <w:rPr>
          <w:rFonts w:ascii="GHEA Grapalat" w:hAnsi="GHEA Grapalat"/>
          <w:sz w:val="24"/>
          <w:szCs w:val="24"/>
          <w:lang w:val="hy-AM"/>
        </w:rPr>
        <w:t>Ամսաթիվ, փորձագետ(ներ)ի անուն(ներ), ազգանուն(ներ) ու ստորագրություն(ներ)</w:t>
      </w:r>
    </w:p>
    <w:p w14:paraId="26531C98" w14:textId="77777777" w:rsidR="00421CBC" w:rsidRPr="003940E7" w:rsidRDefault="00421CBC" w:rsidP="003940E7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21CBC" w:rsidRPr="003940E7" w:rsidSect="002D779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70B2" w14:textId="77777777" w:rsidR="000A6FE3" w:rsidRDefault="000A6FE3" w:rsidP="00237DD1">
      <w:pPr>
        <w:spacing w:after="0"/>
      </w:pPr>
      <w:r>
        <w:separator/>
      </w:r>
    </w:p>
  </w:endnote>
  <w:endnote w:type="continuationSeparator" w:id="0">
    <w:p w14:paraId="79CD6A68" w14:textId="77777777" w:rsidR="000A6FE3" w:rsidRDefault="000A6FE3" w:rsidP="00237D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32AE" w14:textId="77777777" w:rsidR="000A6FE3" w:rsidRDefault="000A6FE3" w:rsidP="00237DD1">
      <w:pPr>
        <w:spacing w:after="0"/>
      </w:pPr>
      <w:r>
        <w:separator/>
      </w:r>
    </w:p>
  </w:footnote>
  <w:footnote w:type="continuationSeparator" w:id="0">
    <w:p w14:paraId="1E3D8C25" w14:textId="77777777" w:rsidR="000A6FE3" w:rsidRDefault="000A6FE3" w:rsidP="00237DD1">
      <w:pPr>
        <w:spacing w:after="0"/>
      </w:pPr>
      <w:r>
        <w:continuationSeparator/>
      </w:r>
    </w:p>
  </w:footnote>
  <w:footnote w:id="1">
    <w:p w14:paraId="784975C3" w14:textId="77777777" w:rsidR="00237DD1" w:rsidRPr="0085456F" w:rsidRDefault="00237DD1" w:rsidP="00237DD1">
      <w:pPr>
        <w:pStyle w:val="FootnoteText"/>
        <w:jc w:val="both"/>
        <w:rPr>
          <w:rFonts w:ascii="GHEA Grapalat" w:hAnsi="GHEA Grapalat"/>
          <w:lang w:val="en-US"/>
        </w:rPr>
      </w:pPr>
      <w:r>
        <w:rPr>
          <w:rStyle w:val="FootnoteReference"/>
        </w:rPr>
        <w:t>*</w:t>
      </w:r>
      <w:r>
        <w:t xml:space="preserve"> </w:t>
      </w:r>
      <w:r w:rsidRPr="0085456F">
        <w:rPr>
          <w:rFonts w:ascii="GHEA Grapalat" w:hAnsi="GHEA Grapalat"/>
        </w:rPr>
        <w:t xml:space="preserve">դեղազգոնության համակարգի տվյալ բաղադրիչի գնահատման կատարումը՝ գրանցման հավաստագրի իրավատիրոջ դեղազգոնության համակարգի համապատասխանությունը որոշելու </w:t>
      </w:r>
      <w:r>
        <w:rPr>
          <w:rFonts w:ascii="GHEA Grapalat" w:hAnsi="GHEA Grapalat"/>
        </w:rPr>
        <w:t>և</w:t>
      </w:r>
      <w:r w:rsidRPr="0085456F">
        <w:rPr>
          <w:rFonts w:ascii="GHEA Grapalat" w:hAnsi="GHEA Grapalat"/>
        </w:rPr>
        <w:t xml:space="preserve"> թերությունները (անհամապատասխանությունները) հայտնաբերելու համար, ըստ փորձագետի կարծիքի՝ բավարար մակարդակի վրա</w:t>
      </w:r>
    </w:p>
  </w:footnote>
  <w:footnote w:id="2">
    <w:p w14:paraId="3537A25E" w14:textId="77777777" w:rsidR="00237DD1" w:rsidRPr="0085456F" w:rsidRDefault="00237DD1" w:rsidP="00237DD1">
      <w:pPr>
        <w:pStyle w:val="FootnoteText"/>
        <w:jc w:val="both"/>
        <w:rPr>
          <w:rFonts w:ascii="GHEA Grapalat" w:hAnsi="GHEA Grapalat"/>
          <w:lang w:val="en-US"/>
        </w:rPr>
      </w:pPr>
      <w:r w:rsidRPr="0085456F">
        <w:rPr>
          <w:rStyle w:val="FootnoteReference"/>
          <w:rFonts w:ascii="GHEA Grapalat" w:hAnsi="GHEA Grapalat"/>
        </w:rPr>
        <w:t>**</w:t>
      </w:r>
      <w:r w:rsidRPr="0085456F">
        <w:rPr>
          <w:rFonts w:ascii="GHEA Grapalat" w:hAnsi="GHEA Grapalat"/>
        </w:rPr>
        <w:t xml:space="preserve"> տվյալ բաղադրիչը դիտարկում անցկացնելու ժամանակ չի ենթարկվել գնահատման՝ անհրաժեշտության բացակայության կապակցությամբ՝ դիտարկման ծավալից </w:t>
      </w:r>
      <w:r>
        <w:rPr>
          <w:rFonts w:ascii="GHEA Grapalat" w:hAnsi="GHEA Grapalat"/>
        </w:rPr>
        <w:t>և</w:t>
      </w:r>
      <w:r w:rsidRPr="0085456F">
        <w:rPr>
          <w:rFonts w:ascii="GHEA Grapalat" w:hAnsi="GHEA Grapalat"/>
        </w:rPr>
        <w:t xml:space="preserve"> նպատակներից ելնելով կամ այն ծանուցման հիման վրա, որի համաձայն իրականացվել է</w:t>
      </w:r>
      <w:r>
        <w:rPr>
          <w:rFonts w:ascii="GHEA Grapalat" w:hAnsi="GHEA Grapalat"/>
        </w:rPr>
        <w:t xml:space="preserve"> </w:t>
      </w:r>
      <w:r w:rsidRPr="0085456F">
        <w:rPr>
          <w:rFonts w:ascii="GHEA Grapalat" w:hAnsi="GHEA Grapalat"/>
        </w:rPr>
        <w:t>դիտարկումը։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33E"/>
    <w:multiLevelType w:val="hybridMultilevel"/>
    <w:tmpl w:val="454E3B3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65DF1"/>
    <w:multiLevelType w:val="hybridMultilevel"/>
    <w:tmpl w:val="669CFDC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372F15"/>
    <w:multiLevelType w:val="hybridMultilevel"/>
    <w:tmpl w:val="003AF91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921D0C"/>
    <w:multiLevelType w:val="hybridMultilevel"/>
    <w:tmpl w:val="F5DEE3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B357A3"/>
    <w:multiLevelType w:val="hybridMultilevel"/>
    <w:tmpl w:val="CAD60FA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8116CB2"/>
    <w:multiLevelType w:val="hybridMultilevel"/>
    <w:tmpl w:val="5E36BAF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784DE6"/>
    <w:multiLevelType w:val="multilevel"/>
    <w:tmpl w:val="89B08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5442E"/>
    <w:multiLevelType w:val="multilevel"/>
    <w:tmpl w:val="BCB64A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7440EC"/>
    <w:multiLevelType w:val="hybridMultilevel"/>
    <w:tmpl w:val="CDBE929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962040"/>
    <w:multiLevelType w:val="hybridMultilevel"/>
    <w:tmpl w:val="F138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3C23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7767"/>
    <w:multiLevelType w:val="hybridMultilevel"/>
    <w:tmpl w:val="BEAC5970"/>
    <w:lvl w:ilvl="0" w:tplc="DCCC0F3C">
      <w:start w:val="1"/>
      <w:numFmt w:val="decimal"/>
      <w:lvlText w:val="%1)"/>
      <w:lvlJc w:val="left"/>
      <w:pPr>
        <w:ind w:left="1200" w:hanging="84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4801"/>
    <w:multiLevelType w:val="multilevel"/>
    <w:tmpl w:val="08863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1B2FA2"/>
    <w:multiLevelType w:val="hybridMultilevel"/>
    <w:tmpl w:val="4DDC4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010AA"/>
    <w:multiLevelType w:val="hybridMultilevel"/>
    <w:tmpl w:val="87C65C04"/>
    <w:lvl w:ilvl="0" w:tplc="DCF8C7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E823009"/>
    <w:multiLevelType w:val="hybridMultilevel"/>
    <w:tmpl w:val="F6D25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038BA"/>
    <w:multiLevelType w:val="multilevel"/>
    <w:tmpl w:val="CE648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FB6F5D"/>
    <w:multiLevelType w:val="hybridMultilevel"/>
    <w:tmpl w:val="078AB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CAE61B9"/>
    <w:multiLevelType w:val="multilevel"/>
    <w:tmpl w:val="9E106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C720D3"/>
    <w:multiLevelType w:val="hybridMultilevel"/>
    <w:tmpl w:val="E70659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8209A0"/>
    <w:multiLevelType w:val="hybridMultilevel"/>
    <w:tmpl w:val="067408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FA2192"/>
    <w:multiLevelType w:val="hybridMultilevel"/>
    <w:tmpl w:val="17C427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69F497D"/>
    <w:multiLevelType w:val="hybridMultilevel"/>
    <w:tmpl w:val="025244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260428"/>
    <w:multiLevelType w:val="hybridMultilevel"/>
    <w:tmpl w:val="F6D25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F3609"/>
    <w:multiLevelType w:val="hybridMultilevel"/>
    <w:tmpl w:val="71FC55F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21D3451"/>
    <w:multiLevelType w:val="hybridMultilevel"/>
    <w:tmpl w:val="A5A6630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A17530"/>
    <w:multiLevelType w:val="hybridMultilevel"/>
    <w:tmpl w:val="FC2020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1919C4"/>
    <w:multiLevelType w:val="hybridMultilevel"/>
    <w:tmpl w:val="714001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B13F16"/>
    <w:multiLevelType w:val="hybridMultilevel"/>
    <w:tmpl w:val="C7D863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A4159A8"/>
    <w:multiLevelType w:val="multilevel"/>
    <w:tmpl w:val="86A85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3E5CF9"/>
    <w:multiLevelType w:val="hybridMultilevel"/>
    <w:tmpl w:val="20803E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BD4B70"/>
    <w:multiLevelType w:val="multilevel"/>
    <w:tmpl w:val="97201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29"/>
  </w:num>
  <w:num w:numId="4">
    <w:abstractNumId w:val="19"/>
  </w:num>
  <w:num w:numId="5">
    <w:abstractNumId w:val="8"/>
  </w:num>
  <w:num w:numId="6">
    <w:abstractNumId w:val="17"/>
  </w:num>
  <w:num w:numId="7">
    <w:abstractNumId w:val="9"/>
  </w:num>
  <w:num w:numId="8">
    <w:abstractNumId w:val="18"/>
  </w:num>
  <w:num w:numId="9">
    <w:abstractNumId w:val="24"/>
  </w:num>
  <w:num w:numId="10">
    <w:abstractNumId w:val="26"/>
  </w:num>
  <w:num w:numId="11">
    <w:abstractNumId w:val="15"/>
  </w:num>
  <w:num w:numId="12">
    <w:abstractNumId w:val="25"/>
  </w:num>
  <w:num w:numId="13">
    <w:abstractNumId w:val="11"/>
  </w:num>
  <w:num w:numId="14">
    <w:abstractNumId w:val="32"/>
  </w:num>
  <w:num w:numId="15">
    <w:abstractNumId w:val="31"/>
  </w:num>
  <w:num w:numId="16">
    <w:abstractNumId w:val="16"/>
  </w:num>
  <w:num w:numId="17">
    <w:abstractNumId w:val="7"/>
  </w:num>
  <w:num w:numId="18">
    <w:abstractNumId w:val="33"/>
  </w:num>
  <w:num w:numId="19">
    <w:abstractNumId w:val="20"/>
  </w:num>
  <w:num w:numId="20">
    <w:abstractNumId w:val="6"/>
  </w:num>
  <w:num w:numId="21">
    <w:abstractNumId w:val="12"/>
  </w:num>
  <w:num w:numId="22">
    <w:abstractNumId w:val="4"/>
  </w:num>
  <w:num w:numId="23">
    <w:abstractNumId w:val="3"/>
  </w:num>
  <w:num w:numId="24">
    <w:abstractNumId w:val="30"/>
  </w:num>
  <w:num w:numId="25">
    <w:abstractNumId w:val="28"/>
  </w:num>
  <w:num w:numId="26">
    <w:abstractNumId w:val="5"/>
  </w:num>
  <w:num w:numId="27">
    <w:abstractNumId w:val="21"/>
  </w:num>
  <w:num w:numId="28">
    <w:abstractNumId w:val="23"/>
  </w:num>
  <w:num w:numId="29">
    <w:abstractNumId w:val="1"/>
  </w:num>
  <w:num w:numId="30">
    <w:abstractNumId w:val="22"/>
  </w:num>
  <w:num w:numId="31">
    <w:abstractNumId w:val="2"/>
  </w:num>
  <w:num w:numId="32">
    <w:abstractNumId w:val="0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D1"/>
    <w:rsid w:val="00092FA3"/>
    <w:rsid w:val="000A6FE3"/>
    <w:rsid w:val="00237DD1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020A96"/>
  <w15:chartTrackingRefBased/>
  <w15:docId w15:val="{4F61F5D5-5B5D-4853-8782-6210BB78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DD1"/>
    <w:pPr>
      <w:spacing w:after="160"/>
    </w:pPr>
    <w:rPr>
      <w:rFonts w:eastAsiaTheme="minorHAnsi" w:cstheme="minorBidi"/>
      <w:kern w:val="2"/>
      <w:sz w:val="28"/>
      <w:szCs w:val="22"/>
      <w:lang w:val="hy-AM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aliases w:val="webb"/>
    <w:basedOn w:val="Normal"/>
    <w:uiPriority w:val="99"/>
    <w:unhideWhenUsed/>
    <w:qFormat/>
    <w:rsid w:val="00237DD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237DD1"/>
    <w:rPr>
      <w:b/>
      <w:bCs/>
    </w:rPr>
  </w:style>
  <w:style w:type="character" w:styleId="Emphasis">
    <w:name w:val="Emphasis"/>
    <w:basedOn w:val="DefaultParagraphFont"/>
    <w:uiPriority w:val="20"/>
    <w:qFormat/>
    <w:rsid w:val="00237DD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3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DD1"/>
    <w:rPr>
      <w:rFonts w:eastAsiaTheme="minorHAnsi" w:cstheme="minorBidi"/>
      <w:kern w:val="2"/>
      <w:lang w:val="hy-AM"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DD1"/>
    <w:rPr>
      <w:rFonts w:eastAsiaTheme="minorHAnsi" w:cstheme="minorBidi"/>
      <w:b/>
      <w:bCs/>
      <w:kern w:val="2"/>
      <w:lang w:val="hy-AM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237DD1"/>
    <w:pPr>
      <w:ind w:left="720"/>
      <w:contextualSpacing/>
    </w:pPr>
  </w:style>
  <w:style w:type="paragraph" w:styleId="Revision">
    <w:name w:val="Revision"/>
    <w:hidden/>
    <w:uiPriority w:val="99"/>
    <w:semiHidden/>
    <w:rsid w:val="00237DD1"/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237DD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237DD1"/>
    <w:rPr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37DD1"/>
    <w:pPr>
      <w:widowControl w:val="0"/>
      <w:shd w:val="clear" w:color="auto" w:fill="FFFFFF"/>
      <w:spacing w:before="420" w:after="600" w:line="0" w:lineRule="atLeast"/>
      <w:ind w:hanging="980"/>
      <w:jc w:val="both"/>
    </w:pPr>
    <w:rPr>
      <w:rFonts w:eastAsia="Times New Roman" w:cs="Times New Roman"/>
      <w:kern w:val="0"/>
      <w:sz w:val="30"/>
      <w:szCs w:val="30"/>
      <w:lang w:val="ru-RU" w:eastAsia="ru-RU"/>
      <w14:ligatures w14:val="none"/>
    </w:rPr>
  </w:style>
  <w:style w:type="character" w:customStyle="1" w:styleId="Bodytext2Spacing3pt">
    <w:name w:val="Body text (2) + Spacing 3 pt"/>
    <w:basedOn w:val="Bodytext2"/>
    <w:rsid w:val="00237DD1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styleId="Hyperlink">
    <w:name w:val="Hyperlink"/>
    <w:basedOn w:val="DefaultParagraphFont"/>
    <w:rsid w:val="00237DD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37DD1"/>
    <w:rPr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237DD1"/>
    <w:rPr>
      <w:b/>
      <w:bCs/>
      <w:sz w:val="36"/>
      <w:szCs w:val="3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237DD1"/>
    <w:rPr>
      <w:rFonts w:ascii="Century Schoolbook" w:eastAsia="Century Schoolbook" w:hAnsi="Century Schoolbook" w:cs="Century Schoolbook"/>
      <w:spacing w:val="90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237DD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37DD1"/>
    <w:rPr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237DD1"/>
    <w:rPr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237DD1"/>
    <w:rPr>
      <w:rFonts w:ascii="Tahoma" w:eastAsia="Tahoma" w:hAnsi="Tahoma" w:cs="Tahoma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237DD1"/>
    <w:rPr>
      <w:rFonts w:ascii="Tahoma" w:eastAsia="Tahoma" w:hAnsi="Tahoma" w:cs="Tahoma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237DD1"/>
    <w:rPr>
      <w:rFonts w:ascii="Century Gothic" w:eastAsia="Century Gothic" w:hAnsi="Century Gothic" w:cs="Century Gothic"/>
      <w:sz w:val="10"/>
      <w:szCs w:val="10"/>
      <w:shd w:val="clear" w:color="auto" w:fill="FFFFFF"/>
    </w:rPr>
  </w:style>
  <w:style w:type="character" w:customStyle="1" w:styleId="Bodytext10Tahoma">
    <w:name w:val="Body text (10) + Tahoma"/>
    <w:aliases w:val="10 pt,Body text (2) + Tahoma,10.5 pt,Body text (2) + Franklin Gothic Heavy,8.5 pt"/>
    <w:basedOn w:val="Bodytext10"/>
    <w:rsid w:val="00237DD1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237DD1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Bodytext1110pt">
    <w:name w:val="Body text (11) + 10 pt"/>
    <w:basedOn w:val="Bodytext11"/>
    <w:rsid w:val="00237DD1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237DD1"/>
    <w:rPr>
      <w:sz w:val="11"/>
      <w:szCs w:val="11"/>
      <w:shd w:val="clear" w:color="auto" w:fill="FFFFFF"/>
    </w:rPr>
  </w:style>
  <w:style w:type="character" w:customStyle="1" w:styleId="Bodytext12Tahoma">
    <w:name w:val="Body text (12) + Tahoma"/>
    <w:aliases w:val="5 pt"/>
    <w:basedOn w:val="Bodytext12"/>
    <w:rsid w:val="00237DD1"/>
    <w:rPr>
      <w:rFonts w:ascii="Tahoma" w:eastAsia="Tahoma" w:hAnsi="Tahoma" w:cs="Tahom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237DD1"/>
    <w:rPr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Italic"/>
    <w:basedOn w:val="Bodytext2"/>
    <w:rsid w:val="00237DD1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character" w:customStyle="1" w:styleId="Bodytext2Italic">
    <w:name w:val="Body text (2) + Italic"/>
    <w:basedOn w:val="Bodytext2"/>
    <w:rsid w:val="00237DD1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237DD1"/>
    <w:rPr>
      <w:i/>
      <w:iCs/>
      <w:sz w:val="30"/>
      <w:szCs w:val="30"/>
      <w:shd w:val="clear" w:color="auto" w:fill="FFFFFF"/>
    </w:rPr>
  </w:style>
  <w:style w:type="character" w:customStyle="1" w:styleId="Bodytext7SmallCaps">
    <w:name w:val="Body text (7) + Small Caps"/>
    <w:basedOn w:val="Bodytext7"/>
    <w:rsid w:val="00237DD1"/>
    <w:rPr>
      <w:i/>
      <w:iCs/>
      <w:smallCap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12pt">
    <w:name w:val="Body text (2) + 12 pt"/>
    <w:basedOn w:val="Bodytext2"/>
    <w:rsid w:val="00237DD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115pt">
    <w:name w:val="Body text (2) + 11.5 pt"/>
    <w:basedOn w:val="Bodytext2"/>
    <w:rsid w:val="00237DD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Bodytext7NotItalic">
    <w:name w:val="Body text (7) + Not Italic"/>
    <w:basedOn w:val="Bodytext7"/>
    <w:rsid w:val="00237DD1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Garamond">
    <w:name w:val="Body text (2) + Garamond"/>
    <w:aliases w:val="6 pt,7.5 pt,Spacing -1 pt"/>
    <w:basedOn w:val="Bodytext2"/>
    <w:rsid w:val="00237DD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Bodytext275pt">
    <w:name w:val="Body text (2) + 7.5 pt"/>
    <w:aliases w:val="Spacing 0 pt,Body text (2) + 9.5 pt,Body text (2) + Sylfaen,18 pt,Scale 70%,Body text (2) + Segoe UI,14 pt,Body text (2) + 15 pt,Bold"/>
    <w:basedOn w:val="Bodytext2"/>
    <w:rsid w:val="00237DD1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37DD1"/>
    <w:pPr>
      <w:widowControl w:val="0"/>
      <w:shd w:val="clear" w:color="auto" w:fill="FFFFFF"/>
      <w:spacing w:after="120" w:line="0" w:lineRule="atLeast"/>
      <w:jc w:val="center"/>
    </w:pPr>
    <w:rPr>
      <w:rFonts w:eastAsia="Times New Roman" w:cs="Times New Roman"/>
      <w:b/>
      <w:bCs/>
      <w:kern w:val="0"/>
      <w:sz w:val="30"/>
      <w:szCs w:val="30"/>
      <w:lang w:val="ru-RU" w:eastAsia="ru-RU"/>
      <w14:ligatures w14:val="none"/>
    </w:rPr>
  </w:style>
  <w:style w:type="paragraph" w:customStyle="1" w:styleId="Heading10">
    <w:name w:val="Heading #1"/>
    <w:basedOn w:val="Normal"/>
    <w:link w:val="Heading1"/>
    <w:rsid w:val="00237DD1"/>
    <w:pPr>
      <w:widowControl w:val="0"/>
      <w:shd w:val="clear" w:color="auto" w:fill="FFFFFF"/>
      <w:spacing w:before="120" w:after="1020" w:line="0" w:lineRule="atLeast"/>
      <w:jc w:val="center"/>
      <w:outlineLvl w:val="0"/>
    </w:pPr>
    <w:rPr>
      <w:rFonts w:eastAsia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paragraph" w:customStyle="1" w:styleId="Tablecaption30">
    <w:name w:val="Table caption (3)"/>
    <w:basedOn w:val="Normal"/>
    <w:link w:val="Tablecaption3"/>
    <w:rsid w:val="00237DD1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90"/>
      <w:kern w:val="0"/>
      <w:sz w:val="26"/>
      <w:szCs w:val="26"/>
      <w:lang w:val="ru-RU" w:eastAsia="ru-RU"/>
      <w14:ligatures w14:val="none"/>
    </w:rPr>
  </w:style>
  <w:style w:type="paragraph" w:customStyle="1" w:styleId="Bodytext50">
    <w:name w:val="Body text (5)"/>
    <w:basedOn w:val="Normal"/>
    <w:link w:val="Bodytext5"/>
    <w:rsid w:val="00237DD1"/>
    <w:pPr>
      <w:widowControl w:val="0"/>
      <w:shd w:val="clear" w:color="auto" w:fill="FFFFFF"/>
      <w:spacing w:before="240" w:after="240" w:line="0" w:lineRule="atLeast"/>
      <w:jc w:val="center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Bodytext80">
    <w:name w:val="Body text (8)"/>
    <w:basedOn w:val="Normal"/>
    <w:link w:val="Bodytext8"/>
    <w:rsid w:val="00237DD1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kern w:val="0"/>
      <w:sz w:val="20"/>
      <w:szCs w:val="20"/>
      <w:lang w:val="ru-RU" w:eastAsia="ru-RU"/>
      <w14:ligatures w14:val="none"/>
    </w:rPr>
  </w:style>
  <w:style w:type="paragraph" w:customStyle="1" w:styleId="Bodytext90">
    <w:name w:val="Body text (9)"/>
    <w:basedOn w:val="Normal"/>
    <w:link w:val="Bodytext9"/>
    <w:rsid w:val="00237DD1"/>
    <w:pPr>
      <w:widowControl w:val="0"/>
      <w:shd w:val="clear" w:color="auto" w:fill="FFFFFF"/>
      <w:spacing w:before="540" w:after="240" w:line="0" w:lineRule="atLeast"/>
      <w:jc w:val="both"/>
    </w:pPr>
    <w:rPr>
      <w:rFonts w:ascii="Tahoma" w:eastAsia="Tahoma" w:hAnsi="Tahoma" w:cs="Tahoma"/>
      <w:kern w:val="0"/>
      <w:sz w:val="20"/>
      <w:szCs w:val="20"/>
      <w:lang w:val="ru-RU" w:eastAsia="ru-RU"/>
      <w14:ligatures w14:val="none"/>
    </w:rPr>
  </w:style>
  <w:style w:type="paragraph" w:customStyle="1" w:styleId="Bodytext100">
    <w:name w:val="Body text (10)"/>
    <w:basedOn w:val="Normal"/>
    <w:link w:val="Bodytext10"/>
    <w:rsid w:val="00237DD1"/>
    <w:pPr>
      <w:widowControl w:val="0"/>
      <w:shd w:val="clear" w:color="auto" w:fill="FFFFFF"/>
      <w:spacing w:after="240" w:line="0" w:lineRule="atLeast"/>
      <w:jc w:val="both"/>
    </w:pPr>
    <w:rPr>
      <w:rFonts w:ascii="Century Gothic" w:eastAsia="Century Gothic" w:hAnsi="Century Gothic" w:cs="Century Gothic"/>
      <w:kern w:val="0"/>
      <w:sz w:val="10"/>
      <w:szCs w:val="10"/>
      <w:lang w:val="ru-RU" w:eastAsia="ru-RU"/>
      <w14:ligatures w14:val="none"/>
    </w:rPr>
  </w:style>
  <w:style w:type="paragraph" w:customStyle="1" w:styleId="Bodytext110">
    <w:name w:val="Body text (11)"/>
    <w:basedOn w:val="Normal"/>
    <w:link w:val="Bodytext11"/>
    <w:rsid w:val="00237DD1"/>
    <w:pPr>
      <w:widowControl w:val="0"/>
      <w:shd w:val="clear" w:color="auto" w:fill="FFFFFF"/>
      <w:spacing w:before="240" w:after="360" w:line="0" w:lineRule="atLeast"/>
      <w:jc w:val="both"/>
    </w:pPr>
    <w:rPr>
      <w:rFonts w:ascii="Tahoma" w:eastAsia="Tahoma" w:hAnsi="Tahoma" w:cs="Tahoma"/>
      <w:kern w:val="0"/>
      <w:sz w:val="10"/>
      <w:szCs w:val="10"/>
      <w:lang w:val="ru-RU" w:eastAsia="ru-RU"/>
      <w14:ligatures w14:val="none"/>
    </w:rPr>
  </w:style>
  <w:style w:type="paragraph" w:customStyle="1" w:styleId="Bodytext120">
    <w:name w:val="Body text (12)"/>
    <w:basedOn w:val="Normal"/>
    <w:link w:val="Bodytext12"/>
    <w:rsid w:val="00237DD1"/>
    <w:pPr>
      <w:widowControl w:val="0"/>
      <w:shd w:val="clear" w:color="auto" w:fill="FFFFFF"/>
      <w:spacing w:before="420" w:after="240" w:line="0" w:lineRule="atLeast"/>
      <w:jc w:val="both"/>
    </w:pPr>
    <w:rPr>
      <w:rFonts w:eastAsia="Times New Roman" w:cs="Times New Roman"/>
      <w:kern w:val="0"/>
      <w:sz w:val="11"/>
      <w:szCs w:val="11"/>
      <w:lang w:val="ru-RU" w:eastAsia="ru-RU"/>
      <w14:ligatures w14:val="none"/>
    </w:rPr>
  </w:style>
  <w:style w:type="paragraph" w:customStyle="1" w:styleId="Tablecaption0">
    <w:name w:val="Table caption"/>
    <w:basedOn w:val="Normal"/>
    <w:link w:val="Tablecaption"/>
    <w:rsid w:val="00237DD1"/>
    <w:pPr>
      <w:widowControl w:val="0"/>
      <w:shd w:val="clear" w:color="auto" w:fill="FFFFFF"/>
      <w:spacing w:after="0" w:line="0" w:lineRule="atLeast"/>
    </w:pPr>
    <w:rPr>
      <w:rFonts w:eastAsia="Times New Roman" w:cs="Times New Roman"/>
      <w:kern w:val="0"/>
      <w:sz w:val="30"/>
      <w:szCs w:val="30"/>
      <w:lang w:val="ru-RU" w:eastAsia="ru-RU"/>
      <w14:ligatures w14:val="none"/>
    </w:rPr>
  </w:style>
  <w:style w:type="paragraph" w:customStyle="1" w:styleId="Bodytext70">
    <w:name w:val="Body text (7)"/>
    <w:basedOn w:val="Normal"/>
    <w:link w:val="Bodytext7"/>
    <w:rsid w:val="00237DD1"/>
    <w:pPr>
      <w:widowControl w:val="0"/>
      <w:shd w:val="clear" w:color="auto" w:fill="FFFFFF"/>
      <w:spacing w:after="0" w:line="522" w:lineRule="exact"/>
      <w:jc w:val="both"/>
    </w:pPr>
    <w:rPr>
      <w:rFonts w:eastAsia="Times New Roman" w:cs="Times New Roman"/>
      <w:i/>
      <w:iCs/>
      <w:kern w:val="0"/>
      <w:sz w:val="30"/>
      <w:szCs w:val="30"/>
      <w:lang w:val="ru-RU" w:eastAsia="ru-R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7DD1"/>
    <w:pPr>
      <w:widowControl w:val="0"/>
      <w:spacing w:after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hy-AM" w:bidi="hy-AM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DD1"/>
    <w:rPr>
      <w:rFonts w:ascii="Arial Unicode MS" w:eastAsia="Arial Unicode MS" w:hAnsi="Arial Unicode MS" w:cs="Arial Unicode MS"/>
      <w:color w:val="00000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237DD1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7DD1"/>
    <w:pPr>
      <w:widowControl w:val="0"/>
      <w:tabs>
        <w:tab w:val="center" w:pos="4677"/>
        <w:tab w:val="right" w:pos="9355"/>
      </w:tabs>
      <w:spacing w:after="0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hy-AM" w:bidi="hy-AM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7DD1"/>
    <w:rPr>
      <w:rFonts w:ascii="Arial Unicode MS" w:eastAsia="Arial Unicode MS" w:hAnsi="Arial Unicode MS" w:cs="Arial Unicode MS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237DD1"/>
    <w:pPr>
      <w:widowControl w:val="0"/>
      <w:tabs>
        <w:tab w:val="center" w:pos="4677"/>
        <w:tab w:val="right" w:pos="9355"/>
      </w:tabs>
      <w:spacing w:after="0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hy-AM" w:bidi="hy-AM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37DD1"/>
    <w:rPr>
      <w:rFonts w:ascii="Arial Unicode MS" w:eastAsia="Arial Unicode MS" w:hAnsi="Arial Unicode MS" w:cs="Arial Unicode MS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3651</Words>
  <Characters>20811</Characters>
  <Application>Microsoft Office Word</Application>
  <DocSecurity>0</DocSecurity>
  <Lines>173</Lines>
  <Paragraphs>48</Paragraphs>
  <ScaleCrop>false</ScaleCrop>
  <Company/>
  <LinksUpToDate>false</LinksUpToDate>
  <CharactersWithSpaces>24414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2025-03-27T13:51:00Z</dcterms:created>
  <dcterms:modified xsi:type="dcterms:W3CDTF">2025-03-27T13:51:00Z</dcterms:modified>
</cp:coreProperties>
</file>