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0D80" w14:textId="77777777" w:rsidR="0078085B" w:rsidRDefault="0078085B" w:rsidP="0078085B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86F92E3" w14:textId="77777777" w:rsidR="0078085B" w:rsidRPr="00C95653" w:rsidRDefault="0078085B" w:rsidP="0078085B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62C876" w14:textId="71C5F2CC" w:rsidR="0078085B" w:rsidRPr="00C95653" w:rsidRDefault="0078085B" w:rsidP="0078085B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95653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A8599F" w:rsidRPr="00A8599F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olor w:val="auto"/>
          <w:lang w:val="hy-AM"/>
        </w:rPr>
        <w:t>ՀՅՈՒՐԱՆՈՑԱՅԻՆ ՏՆՏԵՍՈՒԹՅԱՆ ՕԲՅԵԿՏՆԵՐԻ ՈՐԱԿԱՎՈՐՄԱՆ ՏԵԽՆԻԿԱԿԱՆ ՊԱՀԱՆՋՆԵՐԸ, ՆԿԱՐԱԳՐԵՐԸ, ՈՐԱԿԱՎՈՐՄԱՆ ԸՆԹԱՑԱԿԱՐԳԸ ԵՎ ՉԱՓԱՆԻՇՆԵՐԸ, ՈՐԱԿԱՎՈՐՄԱՆ ՎԿԱՅԱԿԱՆԻ ՁԵՎԸ ԵՎ ԺԱՄԿԵՏԸ ՍԱՀՄԱՆԵԼՈՒ ԵՎ ՀՀ ԿԱՌԱՎԱՐՈՒԹՅԱՆ 2004 ԹՎԱԿԱՆԻ ՀՈՒՆԻՍԻ 10-Ի N 946-Ն ՈՐՈՇՈՒՄՆ ՈՒԺԸ ԿՈՐՑՐԱԾ ՃԱՆԱՉԵԼՈՒ ՄԱՍԻՆ</w:t>
      </w:r>
      <w:r w:rsidRPr="00C95653">
        <w:rPr>
          <w:rFonts w:ascii="GHEA Grapalat" w:hAnsi="GHEA Grapalat"/>
          <w:b/>
          <w:bCs/>
          <w:sz w:val="24"/>
          <w:szCs w:val="24"/>
          <w:lang w:val="hy-AM"/>
        </w:rPr>
        <w:t>» ՀՀ ԿԱՌԱՎԱՐՈՒԹՅԱՆ ՈՐՈՇՄԱՆ ՆԱԽԱԳԾԻ ԸՆԴՈՒՆՄԱՆ</w:t>
      </w:r>
    </w:p>
    <w:p w14:paraId="7334E562" w14:textId="77777777" w:rsidR="00FD26C9" w:rsidRDefault="00FD26C9" w:rsidP="00FD26C9">
      <w:pPr>
        <w:spacing w:after="0" w:line="276" w:lineRule="auto"/>
        <w:rPr>
          <w:bCs/>
          <w:lang w:val="hy-AM"/>
        </w:rPr>
      </w:pPr>
    </w:p>
    <w:p w14:paraId="32290A53" w14:textId="77777777" w:rsidR="00237818" w:rsidRPr="009B3D8B" w:rsidRDefault="00237818" w:rsidP="00237818">
      <w:pPr>
        <w:pStyle w:val="BodyTextIndent"/>
        <w:numPr>
          <w:ilvl w:val="0"/>
          <w:numId w:val="1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/>
          <w:sz w:val="24"/>
          <w:szCs w:val="24"/>
          <w:lang w:val="hy-AM" w:eastAsia="en-US"/>
        </w:rPr>
        <w:t>Իրավական ակտի ընդունման անհրաժեշտությունը.</w:t>
      </w:r>
    </w:p>
    <w:p w14:paraId="6B7DDF1A" w14:textId="13E1E8E5" w:rsidR="00237818" w:rsidRPr="009B3D8B" w:rsidRDefault="00237818" w:rsidP="006045F4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9B3D8B">
        <w:rPr>
          <w:rFonts w:ascii="GHEA Grapalat" w:hAnsi="GHEA Grapalat"/>
          <w:sz w:val="24"/>
          <w:szCs w:val="24"/>
          <w:lang w:val="hy-AM" w:eastAsia="x-none"/>
        </w:rPr>
        <w:t>Նախագիծը  ներկայացվում է ի կատարումն  «Զբոսաշրջության մասին» Հայաստանի Հանրապետության օրենքի (այսուհետ՝ Օրենք) 1</w:t>
      </w:r>
      <w:r w:rsidR="00FD26C9" w:rsidRPr="009B3D8B">
        <w:rPr>
          <w:rFonts w:ascii="GHEA Grapalat" w:hAnsi="GHEA Grapalat"/>
          <w:sz w:val="24"/>
          <w:szCs w:val="24"/>
          <w:lang w:val="hy-AM" w:eastAsia="x-none"/>
        </w:rPr>
        <w:t>3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-րդ հոդվածի </w:t>
      </w:r>
      <w:r w:rsidR="00FD26C9" w:rsidRPr="009B3D8B">
        <w:rPr>
          <w:rFonts w:ascii="GHEA Grapalat" w:hAnsi="GHEA Grapalat"/>
          <w:sz w:val="24"/>
          <w:szCs w:val="24"/>
          <w:lang w:val="hy-AM" w:eastAsia="x-none"/>
        </w:rPr>
        <w:t>3-րդ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 մասի։</w:t>
      </w:r>
    </w:p>
    <w:p w14:paraId="0DD030AF" w14:textId="315C4466" w:rsidR="00C60242" w:rsidRDefault="006045F4" w:rsidP="008C6C1C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անհրաժեշտությունն առաջացել է հյուրանոցային ծառայությունների՝ միջազգային չափանիշ</w:t>
      </w:r>
      <w:r w:rsidR="00A7670B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համապատասխան որակի ապահովման և որակավորման կարգերին համապատասխան ներկայացման ապահովման անհրաժեշտությունից:</w:t>
      </w:r>
      <w:r w:rsidR="004609C2"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3D8B">
        <w:rPr>
          <w:rFonts w:ascii="GHEA Grapalat" w:hAnsi="GHEA Grapalat"/>
          <w:sz w:val="24"/>
          <w:szCs w:val="24"/>
          <w:lang w:val="hy-AM"/>
        </w:rPr>
        <w:t>Սա հնարավորություն է նաև այն զբոսաշրջիկների համար, ովքեր ավելի բարձրորակ ծառայություններ են նախընտրում Հայաստանում` ստանալու համապատասխան սպասարկումը։ Բարձրակարգ հյուրանոցները նպաստում են նաև միջազգային ու ներքին շուկայում Հայաստանի դրական իմիջի ձևավորմանը: Եթե հյուրանոցներն իրենց տրված կարգին համապատասխան պայմաններ ուենան, ապա ազդեցությունը տուրիստական հոսքերի վրա ակնհայտ կլինի։</w:t>
      </w:r>
    </w:p>
    <w:p w14:paraId="24203843" w14:textId="6C96239D" w:rsidR="00237818" w:rsidRPr="00AB2C5F" w:rsidRDefault="006045F4" w:rsidP="00C60242">
      <w:pPr>
        <w:spacing w:line="360" w:lineRule="auto"/>
        <w:ind w:firstLine="360"/>
        <w:jc w:val="both"/>
        <w:rPr>
          <w:rFonts w:ascii="Cambria Math" w:hAnsi="Cambria Math"/>
          <w:sz w:val="24"/>
          <w:szCs w:val="24"/>
          <w:lang w:val="hy-AM"/>
        </w:rPr>
      </w:pPr>
      <w:r w:rsidRPr="009B3D8B">
        <w:rPr>
          <w:rFonts w:ascii="GHEA Grapalat" w:hAnsi="GHEA Grapalat"/>
          <w:b/>
          <w:bCs/>
          <w:sz w:val="24"/>
          <w:lang w:val="hy-AM"/>
        </w:rPr>
        <w:t>2</w:t>
      </w:r>
      <w:r w:rsidRPr="009B3D8B">
        <w:rPr>
          <w:rFonts w:ascii="Cambria Math" w:hAnsi="Cambria Math" w:cs="Cambria Math"/>
          <w:b/>
          <w:bCs/>
          <w:sz w:val="24"/>
          <w:lang w:val="hy-AM"/>
        </w:rPr>
        <w:t>․</w:t>
      </w:r>
      <w:r w:rsidR="009B3D8B">
        <w:rPr>
          <w:rFonts w:ascii="Cambria Math" w:hAnsi="Cambria Math" w:cs="Cambria Math"/>
          <w:sz w:val="24"/>
          <w:lang w:val="hy-AM"/>
        </w:rPr>
        <w:t xml:space="preserve"> 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  <w:r w:rsidR="00AB2C5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63430B5E" w14:textId="77777777" w:rsidR="00E25EE2" w:rsidRDefault="008C6C1C" w:rsidP="00E25EE2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«Զբոսաշրջության և զբոսաշրջային գործունեության մասին» օրենքի համաձայն մինչ 2024 թվականը հյուրանոցային տնտեսության օբյեկտները կարող էին որակավորվել 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</w:t>
      </w:r>
      <w:r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2004 թվականի հունիսի 10-ի 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992D0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992D01" w:rsidRPr="00992D01">
        <w:rPr>
          <w:rFonts w:ascii="GHEA Grapalat" w:hAnsi="GHEA Grapalat"/>
          <w:color w:val="000000"/>
          <w:sz w:val="24"/>
          <w:szCs w:val="24"/>
          <w:lang w:val="hy-AM"/>
        </w:rPr>
        <w:t xml:space="preserve">յուրանոցային ծառայություններ մատուցելու կարգն ու պայմանները սահմանելու, հյուրանոցային տնտեսության օբյեկտների որակավորման կարգերը </w:t>
      </w:r>
      <w:r w:rsidR="00992D0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92D01" w:rsidRPr="00992D01">
        <w:rPr>
          <w:rFonts w:ascii="GHEA Grapalat" w:hAnsi="GHEA Grapalat"/>
          <w:color w:val="000000"/>
          <w:sz w:val="24"/>
          <w:szCs w:val="24"/>
          <w:lang w:val="hy-AM"/>
        </w:rPr>
        <w:t xml:space="preserve"> որակավորման ընթացակարգը հաստատելու մասին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992D0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 946-Ն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64044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 շրջանակում։</w:t>
      </w:r>
      <w:r w:rsidR="00B40D3C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Հայաստանում գործող հյուրանոց</w:t>
      </w:r>
      <w:r w:rsid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ային տնտեսության օբյեկտնե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րից </w:t>
      </w:r>
      <w:r w:rsid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վերջին մի քանի տարիների ընթացքում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ընդամենը 3-ն են որակավոր</w:t>
      </w:r>
      <w:r w:rsid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 եղել</w:t>
      </w:r>
      <w:r w:rsidR="00390371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  <w:r w:rsidR="008C75B4" w:rsidRPr="00992D0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Հյուրանոցների զգալի մասն իրենց չափանիշներով չեն բավարարում զբոսաշրջիկների պահանջները և չեն համապատասխանում որակավորման կարգեր ստանալու համար սահմանված նորմերին՝ հատկապես բարձր կարգերի համար։</w:t>
      </w:r>
    </w:p>
    <w:p w14:paraId="71C22145" w14:textId="1C5BA681" w:rsidR="005B2C8A" w:rsidRDefault="00E25EE2" w:rsidP="005B2C8A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 այլ խնդիր է հ</w:t>
      </w:r>
      <w:r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յուրանոցային տնտեսության օբյեկտներ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ի՝ </w:t>
      </w:r>
      <w:r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իրենց տեսակին չհամապատասխանող տեսակով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ներկայանալու փաստը</w:t>
      </w:r>
      <w:r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տարբերություն այլ ծառայություն մատուցողների՝ հյուրանոցային ծառայություններ մատուցող օբյեկտների՝ իրենց տեսակին չհամապատասխանող տեսակով ներկայանալը ակնհայտ է, տեսանելի է թե հյուրանոցային տնտեսության օբյեկտի արտաքին ձևավորման մեջ, թե որոնողական համակարգերում, թե վերջիններիս կայքերում։</w:t>
      </w:r>
      <w:r w:rsidR="005B2C8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0D7A2024" w14:textId="77777777" w:rsidR="00A5399A" w:rsidRDefault="005B2C8A" w:rsidP="00A5399A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Զբոսաշրջության ոլորտի ծառայությունների </w:t>
      </w:r>
      <w:r w:rsidR="00A5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նկարագրի վրա բացասական ազդեցությունն է թողնում նաև հ</w:t>
      </w:r>
      <w:r w:rsidR="00E25EE2"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յուրանոցային տնտեսության օբյեկտի՝ որակավորման կարգի նշանի կամ մոլորեցնող նմանությամբ որակավորման կարգի նշանի օգտագործում</w:t>
      </w:r>
      <w:r w:rsidR="00A5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E25EE2"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եթե վերջինս չունի որակավորման կարգի նշան։</w:t>
      </w:r>
      <w:r w:rsidR="00A5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25EE2" w:rsidRPr="00E25EE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Հյուրանոցային տնտեսության օբյեկտները որակավորման կարգի վերաբերյալ տեղեկատվությունը օգտագործում են թե իրենց արտաքին ձևավորման մեջ, թե որոնողական համակարգերում և թե իրենց ինտերնետային կայքերում ու սոցիալական ցանցերում։ 2019 թվականին հարցում է անցկացվել զբոսաշրջիկների շրջանում: Տվյալների հավաքագրման հիմնական գործընթացն իրականացվել է  800 զբոսաշրջիկների հարցման, ինչպես նաև «մարդակենտրոն նախագծմամբ» 25 ընդգրկուն հարցումների միջոցով։ Հարցումների արդյունքում պարզ է դարձել, որ հարցվածների մի զգալի հատված (կցվում են հարցման արդյունքները) միջին և միջինից ցածր է գնահատել կացության ծառայությունների հետ կապված հարցադրումները։ </w:t>
      </w:r>
    </w:p>
    <w:p w14:paraId="5055A1F7" w14:textId="3083D9E6" w:rsidR="00E25EE2" w:rsidRPr="00A5399A" w:rsidRDefault="00A5399A" w:rsidP="00A5399A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Վերոգրյալ խնդիրները հաշվի առնելով՝ անհրաժեշտություն է առաջացել ներդնել միջազգային չափանիշներին համապատասխան որակավորման համակարգ։</w:t>
      </w:r>
    </w:p>
    <w:p w14:paraId="028CFB98" w14:textId="15127D61" w:rsidR="00237818" w:rsidRPr="00AB2C5F" w:rsidRDefault="009B3D8B" w:rsidP="009B3D8B">
      <w:pPr>
        <w:pStyle w:val="BodyTextIndent"/>
        <w:spacing w:before="120" w:line="360" w:lineRule="auto"/>
        <w:ind w:left="270"/>
        <w:jc w:val="both"/>
        <w:rPr>
          <w:rFonts w:ascii="Cambria Math" w:hAnsi="Cambria Math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3</w:t>
      </w:r>
      <w:r>
        <w:rPr>
          <w:rFonts w:ascii="Cambria Math" w:hAnsi="Cambria Math"/>
          <w:b/>
          <w:sz w:val="24"/>
          <w:szCs w:val="24"/>
          <w:lang w:val="hy-AM" w:eastAsia="en-US"/>
        </w:rPr>
        <w:t xml:space="preserve">․ </w:t>
      </w:r>
      <w:r w:rsidR="00237818" w:rsidRPr="009B3D8B">
        <w:rPr>
          <w:rFonts w:ascii="GHEA Grapalat" w:hAnsi="GHEA Grapalat"/>
          <w:b/>
          <w:sz w:val="24"/>
          <w:szCs w:val="24"/>
          <w:lang w:val="hy-AM" w:eastAsia="en-US"/>
        </w:rPr>
        <w:t>Առաջարկվող կարգավորման բնույթը և նպատակը</w:t>
      </w:r>
      <w:r w:rsidR="00AB2C5F">
        <w:rPr>
          <w:rFonts w:ascii="Cambria Math" w:hAnsi="Cambria Math"/>
          <w:b/>
          <w:sz w:val="24"/>
          <w:szCs w:val="24"/>
          <w:lang w:val="hy-AM" w:eastAsia="en-US"/>
        </w:rPr>
        <w:t>․</w:t>
      </w:r>
    </w:p>
    <w:p w14:paraId="759CADE3" w14:textId="0791F365" w:rsidR="00237818" w:rsidRPr="00C60242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color w:val="FF0000"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Սույն նախագծով առաջարկվում է սահմանել </w:t>
      </w:r>
      <w:r w:rsidR="00C60242">
        <w:rPr>
          <w:rFonts w:ascii="GHEA Grapalat" w:hAnsi="GHEA Grapalat"/>
          <w:bCs/>
          <w:sz w:val="24"/>
          <w:szCs w:val="24"/>
          <w:lang w:val="hy-AM" w:eastAsia="en-US"/>
        </w:rPr>
        <w:t xml:space="preserve">հյուրանոցային տնտեսության օբյեկտենրի որակավորման տեխնիկական պահանջները, նկարագրերը, որակավորման ընթացակարգը </w:t>
      </w:r>
      <w:r w:rsidR="00FE4514">
        <w:rPr>
          <w:rFonts w:ascii="GHEA Grapalat" w:hAnsi="GHEA Grapalat"/>
          <w:bCs/>
          <w:sz w:val="24"/>
          <w:szCs w:val="24"/>
          <w:lang w:val="hy-AM" w:eastAsia="en-US"/>
        </w:rPr>
        <w:t>և չափանիշները, որակավորման վկայականի ձևը և ժամկետը։</w:t>
      </w:r>
    </w:p>
    <w:p w14:paraId="16C7DC19" w14:textId="16F5C053" w:rsidR="00237818" w:rsidRPr="00AB2C5F" w:rsidRDefault="006B23D0" w:rsidP="006B23D0">
      <w:pPr>
        <w:spacing w:before="120" w:after="120" w:line="360" w:lineRule="auto"/>
        <w:ind w:left="27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37818" w:rsidRPr="006B23D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անձիք</w:t>
      </w:r>
      <w:r w:rsidR="00AB2C5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C537497" w14:textId="3BFA58E6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Նախագիծը</w:t>
      </w:r>
      <w:r w:rsidRPr="009B3D8B">
        <w:rPr>
          <w:rFonts w:ascii="GHEA Grapalat" w:hAnsi="GHEA Grapalat" w:cs="Sylfaen"/>
          <w:sz w:val="24"/>
          <w:szCs w:val="24"/>
          <w:lang w:val="hy-AM"/>
        </w:rPr>
        <w:t xml:space="preserve"> մշակվել է Հայաստանի Հանրապետության էկոնոմիկայի նախարարության զբոսաշրջության կոմիտեի կողմից</w:t>
      </w:r>
      <w:r w:rsidR="00A7670B">
        <w:rPr>
          <w:rFonts w:ascii="GHEA Grapalat" w:hAnsi="GHEA Grapalat" w:cs="Sylfaen"/>
          <w:sz w:val="24"/>
          <w:szCs w:val="24"/>
          <w:lang w:val="hy-AM"/>
        </w:rPr>
        <w:t>,</w:t>
      </w:r>
      <w:r w:rsidR="00A7670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399A">
        <w:rPr>
          <w:rFonts w:ascii="GHEA Grapalat" w:hAnsi="GHEA Grapalat" w:cs="Arial Armenian"/>
          <w:sz w:val="24"/>
          <w:szCs w:val="24"/>
          <w:lang w:val="hy-AM"/>
        </w:rPr>
        <w:t>միջազգային գործընկերների և մասնավոր հատվածը ներկայացնող կազմակերպությունների հետ համագործակցությամբ։</w:t>
      </w:r>
    </w:p>
    <w:p w14:paraId="78AC7F99" w14:textId="56E1292E" w:rsidR="00237818" w:rsidRPr="00AB2C5F" w:rsidRDefault="00C60242" w:rsidP="00C60242">
      <w:pPr>
        <w:spacing w:before="120" w:after="120" w:line="360" w:lineRule="auto"/>
        <w:ind w:left="270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237818" w:rsidRPr="00C60242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  <w:r w:rsidR="00AB2C5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2C44357" w14:textId="7FBB93A2" w:rsidR="00B40D3C" w:rsidRPr="009B3D8B" w:rsidRDefault="00B40D3C" w:rsidP="00B40D3C">
      <w:pPr>
        <w:tabs>
          <w:tab w:val="left" w:pos="630"/>
          <w:tab w:val="left" w:pos="1170"/>
        </w:tabs>
        <w:spacing w:before="120" w:after="120" w:line="360" w:lineRule="auto"/>
        <w:ind w:firstLine="450"/>
        <w:jc w:val="both"/>
        <w:rPr>
          <w:rFonts w:ascii="GHEA Grapalat" w:hAnsi="GHEA Grapalat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/>
        </w:rPr>
        <w:t>Նախագծի ընդունումը կնպաստի հյուրանոցային ծառայությունների բարձր որակի</w:t>
      </w:r>
      <w:r w:rsidR="00C20545" w:rsidRPr="009B3D8B">
        <w:rPr>
          <w:rFonts w:ascii="GHEA Grapalat" w:hAnsi="GHEA Grapalat"/>
          <w:bCs/>
          <w:sz w:val="24"/>
          <w:szCs w:val="24"/>
          <w:lang w:val="hy-AM"/>
        </w:rPr>
        <w:t xml:space="preserve">, միջազգային չափանիշների համապատասխան որակավորման կարգի և </w:t>
      </w:r>
      <w:r w:rsidRPr="009B3D8B">
        <w:rPr>
          <w:rFonts w:ascii="GHEA Grapalat" w:hAnsi="GHEA Grapalat"/>
          <w:bCs/>
          <w:sz w:val="24"/>
          <w:szCs w:val="24"/>
          <w:lang w:val="hy-AM"/>
        </w:rPr>
        <w:t xml:space="preserve"> տեղեկատվության հասանելիության ապահովմանը</w:t>
      </w:r>
      <w:r w:rsidR="00C20545" w:rsidRPr="009B3D8B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C20545" w:rsidRPr="009B3D8B">
        <w:rPr>
          <w:rFonts w:ascii="GHEA Grapalat" w:hAnsi="GHEA Grapalat"/>
          <w:sz w:val="24"/>
          <w:szCs w:val="24"/>
          <w:lang w:val="hy-AM"/>
        </w:rPr>
        <w:t>տուրիստական հոսքերի ավելացմանը։</w:t>
      </w:r>
    </w:p>
    <w:p w14:paraId="232EE815" w14:textId="0C6EE34B" w:rsidR="00237818" w:rsidRPr="00AB2C5F" w:rsidRDefault="00FE4514" w:rsidP="00B40D3C">
      <w:pPr>
        <w:tabs>
          <w:tab w:val="left" w:pos="630"/>
          <w:tab w:val="left" w:pos="1170"/>
        </w:tabs>
        <w:spacing w:before="120" w:after="120" w:line="276" w:lineRule="auto"/>
        <w:ind w:left="270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>Այլ տեղեկություններ</w:t>
      </w:r>
      <w:r w:rsidR="00AB2C5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98A40CC" w14:textId="7708E9E3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Նախագծի ընդունման դեպքում պետական բյուջեում կամ տեղական ինքնակառավարման մարմինների բյուջեներում</w:t>
      </w:r>
      <w:r w:rsidR="00C20545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 նախատեսվում են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 ծախսերի և եկամուտների ավելացումներ:</w:t>
      </w:r>
    </w:p>
    <w:p w14:paraId="5E07DCC0" w14:textId="6CDFF83B" w:rsidR="00FD26C9" w:rsidRPr="00AB2C5F" w:rsidRDefault="00FE4514" w:rsidP="00A7670B">
      <w:pPr>
        <w:spacing w:before="120" w:after="120" w:line="360" w:lineRule="auto"/>
        <w:ind w:left="27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FE4514">
        <w:rPr>
          <w:rFonts w:ascii="GHEA Grapalat" w:hAnsi="GHEA Grapalat" w:cs="Sylfaen"/>
          <w:b/>
          <w:sz w:val="24"/>
          <w:szCs w:val="24"/>
          <w:lang w:val="hy-AM"/>
        </w:rPr>
        <w:t>7</w:t>
      </w:r>
      <w:r>
        <w:rPr>
          <w:rFonts w:ascii="Cambria Math" w:hAnsi="Cambria Math" w:cs="Sylfaen"/>
          <w:b/>
          <w:i/>
          <w:iCs/>
          <w:sz w:val="24"/>
          <w:szCs w:val="24"/>
          <w:lang w:val="hy-AM"/>
        </w:rPr>
        <w:t>․</w:t>
      </w:r>
      <w:r w:rsidR="00237818" w:rsidRPr="00FE45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Կապը ռազմավարական փաստաթղթերի հետ</w:t>
      </w:r>
      <w:r w:rsidR="00AB2C5F">
        <w:rPr>
          <w:rFonts w:ascii="Cambria Math" w:hAnsi="Cambria Math" w:cs="Sylfaen"/>
          <w:b/>
          <w:i/>
          <w:iCs/>
          <w:sz w:val="24"/>
          <w:szCs w:val="24"/>
          <w:lang w:val="hy-AM"/>
        </w:rPr>
        <w:t>․</w:t>
      </w:r>
    </w:p>
    <w:p w14:paraId="5254A557" w14:textId="77777777" w:rsidR="00781EF0" w:rsidRDefault="00781EF0" w:rsidP="00781EF0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Նախագծերը բխում են Հայաստանի վերափոխման ռազմավարություն 2050-ի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5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6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2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7" w:history="1">
        <w:r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231-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Pr="00BE3D3C">
        <w:rPr>
          <w:rFonts w:ascii="GHEA Grapalat" w:hAnsi="GHEA Grapalat" w:cs="Sylfaen"/>
          <w:bCs/>
          <w:lang w:val="hy-AM"/>
        </w:rPr>
        <w:t xml:space="preserve">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701A3E7F" w14:textId="77777777" w:rsidR="00FD26C9" w:rsidRDefault="00FD26C9">
      <w:pPr>
        <w:rPr>
          <w:lang w:val="hy-AM"/>
        </w:rPr>
      </w:pPr>
    </w:p>
    <w:p w14:paraId="5C677BB2" w14:textId="77777777" w:rsidR="00FD26C9" w:rsidRPr="00237818" w:rsidRDefault="00FD26C9">
      <w:pPr>
        <w:rPr>
          <w:lang w:val="hy-AM"/>
        </w:rPr>
      </w:pPr>
    </w:p>
    <w:sectPr w:rsidR="00FD26C9" w:rsidRPr="00237818" w:rsidSect="008626C8">
      <w:pgSz w:w="12240" w:h="15840"/>
      <w:pgMar w:top="144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7E4"/>
    <w:multiLevelType w:val="hybridMultilevel"/>
    <w:tmpl w:val="18B0796A"/>
    <w:lvl w:ilvl="0" w:tplc="4E62664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08835BA"/>
    <w:multiLevelType w:val="hybridMultilevel"/>
    <w:tmpl w:val="6362348A"/>
    <w:lvl w:ilvl="0" w:tplc="AEB28010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11630">
    <w:abstractNumId w:val="0"/>
  </w:num>
  <w:num w:numId="2" w16cid:durableId="300773622">
    <w:abstractNumId w:val="1"/>
  </w:num>
  <w:num w:numId="3" w16cid:durableId="194197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14"/>
    <w:rsid w:val="000E7D0F"/>
    <w:rsid w:val="001A47B4"/>
    <w:rsid w:val="001D4D03"/>
    <w:rsid w:val="00237818"/>
    <w:rsid w:val="00255061"/>
    <w:rsid w:val="00364044"/>
    <w:rsid w:val="00370F14"/>
    <w:rsid w:val="00390371"/>
    <w:rsid w:val="004609C2"/>
    <w:rsid w:val="00547266"/>
    <w:rsid w:val="005B2C8A"/>
    <w:rsid w:val="005D44F2"/>
    <w:rsid w:val="005F6374"/>
    <w:rsid w:val="006045F4"/>
    <w:rsid w:val="006B23D0"/>
    <w:rsid w:val="0078085B"/>
    <w:rsid w:val="00781EF0"/>
    <w:rsid w:val="008C5BCB"/>
    <w:rsid w:val="008C6C1C"/>
    <w:rsid w:val="008C75B4"/>
    <w:rsid w:val="008D0B8F"/>
    <w:rsid w:val="00992D01"/>
    <w:rsid w:val="009B3D8B"/>
    <w:rsid w:val="00A5399A"/>
    <w:rsid w:val="00A7670B"/>
    <w:rsid w:val="00A8599F"/>
    <w:rsid w:val="00AB2C5F"/>
    <w:rsid w:val="00B40D3C"/>
    <w:rsid w:val="00C20545"/>
    <w:rsid w:val="00C60242"/>
    <w:rsid w:val="00C95653"/>
    <w:rsid w:val="00E03EB8"/>
    <w:rsid w:val="00E25EE2"/>
    <w:rsid w:val="00EB2C4D"/>
    <w:rsid w:val="00EB2FB5"/>
    <w:rsid w:val="00FD26C9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814E"/>
  <w15:chartTrackingRefBased/>
  <w15:docId w15:val="{A64F5107-35CD-43FF-804F-69FE0B6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18"/>
    <w:rPr>
      <w:rFonts w:eastAsiaTheme="minorHAnsi"/>
      <w:kern w:val="0"/>
      <w:lang w:eastAsia="en-US"/>
      <w14:ligatures w14:val="none"/>
    </w:rPr>
  </w:style>
  <w:style w:type="paragraph" w:styleId="Heading4">
    <w:name w:val="heading 4"/>
    <w:aliases w:val="Run-In"/>
    <w:basedOn w:val="Normal"/>
    <w:next w:val="Normal"/>
    <w:link w:val="Heading4Char"/>
    <w:uiPriority w:val="2"/>
    <w:semiHidden/>
    <w:unhideWhenUsed/>
    <w:qFormat/>
    <w:rsid w:val="00C956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37818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237818"/>
    <w:rPr>
      <w:rFonts w:eastAsiaTheme="minorHAnsi"/>
      <w:kern w:val="0"/>
      <w:lang w:eastAsia="en-US"/>
      <w14:ligatures w14:val="none"/>
    </w:rPr>
  </w:style>
  <w:style w:type="paragraph" w:customStyle="1" w:styleId="norm">
    <w:name w:val="norm"/>
    <w:basedOn w:val="Normal"/>
    <w:link w:val="normChar"/>
    <w:rsid w:val="002378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237818"/>
    <w:rPr>
      <w:rFonts w:ascii="Arial Armenian" w:eastAsia="Times New Roman" w:hAnsi="Arial Armenian" w:cs="Times New Roman"/>
      <w:kern w:val="0"/>
      <w:szCs w:val="20"/>
      <w:lang w:val="x-none" w:eastAsia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37818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781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unhideWhenUsed/>
    <w:rsid w:val="00237818"/>
    <w:rPr>
      <w:color w:val="0000FF"/>
      <w:u w:val="single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semiHidden/>
    <w:rsid w:val="00C9565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ru-RU" w:eastAsia="ru-RU"/>
      <w14:ligatures w14:val="none"/>
    </w:rPr>
  </w:style>
  <w:style w:type="paragraph" w:styleId="NoSpacing">
    <w:name w:val="No Spacing"/>
    <w:uiPriority w:val="1"/>
    <w:qFormat/>
    <w:rsid w:val="00C9565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25EE2"/>
    <w:pPr>
      <w:spacing w:after="0" w:line="240" w:lineRule="auto"/>
    </w:pPr>
    <w:rPr>
      <w:rFonts w:eastAsia="Times New Roman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3</cp:revision>
  <dcterms:created xsi:type="dcterms:W3CDTF">2025-03-19T10:50:00Z</dcterms:created>
  <dcterms:modified xsi:type="dcterms:W3CDTF">2025-03-19T10:50:00Z</dcterms:modified>
</cp:coreProperties>
</file>