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B964A3"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bookmarkStart w:id="0" w:name="_GoBack"/>
      <w:bookmarkEnd w:id="0"/>
      <w:r w:rsidRPr="00297C95">
        <w:rPr>
          <w:rFonts w:ascii="Sylfaen" w:hAnsi="Sylfaen" w:cs="Arial Unicode"/>
          <w:b/>
          <w:bCs/>
          <w:shd w:val="clear" w:color="auto" w:fill="FFFFFF"/>
          <w:lang w:val="hy-AM"/>
        </w:rPr>
        <w:t>ՆԱԽԱԳԻԾ</w:t>
      </w:r>
    </w:p>
    <w:p w14:paraId="18568E05"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4B932743"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6756202F"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«ԱՎՏՈՏՐԱՆՍՊՈՐՏԱՅԻՆ ՄԻՋՈՑՆԵՐԻ ԿԱՅԱՆԱՏԵՂԵՐԻ ՏԵՂԱԿԱՆ ՎՃԱՐԻ ԵՎ ՎԱՐՉԱԿԱՆ ՎԱՐՈՒՅԹԻ ԱՌԱՆՁՆԱՀԱՏԿՈՒԹՅՈՒՆՆԵՐԻ ՄԱՍԻՆ» ՕՐԵՆՔՈՒՄ ՓՈՓՈԽՈՒԹՅՈՒՆՆԵՐ ԿԱՏԱՐԵԼՈՒ ՄԱՍԻՆ</w:t>
      </w:r>
    </w:p>
    <w:p w14:paraId="6E1DAC06"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p>
    <w:p w14:paraId="335E63A1" w14:textId="77777777" w:rsidR="006666FA" w:rsidRPr="006666FA" w:rsidRDefault="006666FA" w:rsidP="006666FA">
      <w:pPr>
        <w:pStyle w:val="NormalWeb"/>
        <w:spacing w:before="0" w:beforeAutospacing="0" w:after="0" w:afterAutospacing="0" w:line="276" w:lineRule="auto"/>
        <w:ind w:firstLine="720"/>
        <w:jc w:val="both"/>
        <w:rPr>
          <w:rFonts w:ascii="Sylfaen" w:hAnsi="Sylfaen" w:cs="Arial Unicode"/>
          <w:bCs/>
          <w:shd w:val="clear" w:color="auto" w:fill="FFFFFF"/>
          <w:lang w:val="hy-AM"/>
        </w:rPr>
      </w:pPr>
      <w:r w:rsidRPr="006666FA">
        <w:rPr>
          <w:rFonts w:ascii="Sylfaen" w:hAnsi="Sylfaen" w:cs="Arial Unicode"/>
          <w:b/>
          <w:bCs/>
          <w:shd w:val="clear" w:color="auto" w:fill="FFFFFF"/>
          <w:lang w:val="hy-AM"/>
        </w:rPr>
        <w:t>Հոդված 1.</w:t>
      </w:r>
      <w:r w:rsidRPr="006666FA">
        <w:rPr>
          <w:rFonts w:ascii="Sylfaen" w:hAnsi="Sylfaen" w:cs="Arial Unicode"/>
          <w:bCs/>
          <w:shd w:val="clear" w:color="auto" w:fill="FFFFFF"/>
          <w:lang w:val="hy-AM"/>
        </w:rPr>
        <w:t xml:space="preserve"> «Ավտոտրանսպորտային միջոցների կայանատեղերի տեղական վճարի և վարչական վարույթի առանձնահատկությունների մասին» 2011 թվականի հունիսի 23-ի ՀՕ-221-Ն օրենքի (այսուհետ՝ Օրենք) 9-րդ հոդվածի՝</w:t>
      </w:r>
    </w:p>
    <w:p w14:paraId="4720D48E" w14:textId="77777777" w:rsidR="006666FA" w:rsidRPr="006666FA" w:rsidRDefault="006666FA" w:rsidP="006666FA">
      <w:pPr>
        <w:pStyle w:val="NormalWeb"/>
        <w:spacing w:before="0" w:beforeAutospacing="0" w:after="0" w:afterAutospacing="0" w:line="276" w:lineRule="auto"/>
        <w:jc w:val="both"/>
        <w:rPr>
          <w:rFonts w:ascii="Sylfaen" w:hAnsi="Sylfaen" w:cs="Arial Unicode"/>
          <w:bCs/>
          <w:shd w:val="clear" w:color="auto" w:fill="FFFFFF"/>
          <w:lang w:val="hy-AM"/>
        </w:rPr>
      </w:pPr>
      <w:r w:rsidRPr="006666FA">
        <w:rPr>
          <w:rFonts w:ascii="Sylfaen" w:hAnsi="Sylfaen" w:cs="Arial Unicode"/>
          <w:bCs/>
          <w:shd w:val="clear" w:color="auto" w:fill="FFFFFF"/>
          <w:lang w:val="hy-AM"/>
        </w:rPr>
        <w:tab/>
        <w:t>1) 1-ին մասից հանել «՝ համայնքի տարեկան բյուջեն հաստատելուց առաջ» բառերը և կետադրական նշանը.</w:t>
      </w:r>
    </w:p>
    <w:p w14:paraId="518726D9" w14:textId="77777777" w:rsidR="006666FA" w:rsidRPr="006666FA" w:rsidRDefault="006666FA" w:rsidP="006666FA">
      <w:pPr>
        <w:pStyle w:val="NormalWeb"/>
        <w:spacing w:before="0" w:beforeAutospacing="0" w:after="0" w:afterAutospacing="0" w:line="276" w:lineRule="auto"/>
        <w:jc w:val="both"/>
        <w:rPr>
          <w:rFonts w:ascii="Sylfaen" w:hAnsi="Sylfaen" w:cs="Arial Unicode"/>
          <w:bCs/>
          <w:shd w:val="clear" w:color="auto" w:fill="FFFFFF"/>
          <w:lang w:val="hy-AM"/>
        </w:rPr>
      </w:pPr>
      <w:r w:rsidRPr="006666FA">
        <w:rPr>
          <w:rFonts w:ascii="Sylfaen" w:hAnsi="Sylfaen" w:cs="Arial Unicode"/>
          <w:bCs/>
          <w:shd w:val="clear" w:color="auto" w:fill="FFFFFF"/>
          <w:lang w:val="hy-AM"/>
        </w:rPr>
        <w:tab/>
        <w:t>2) 2-րդ մասն ուժը կորցրած ճանաչել.</w:t>
      </w:r>
    </w:p>
    <w:p w14:paraId="48EA35D0" w14:textId="77777777" w:rsidR="006666FA" w:rsidRPr="006666FA" w:rsidRDefault="006666FA" w:rsidP="006666FA">
      <w:pPr>
        <w:pStyle w:val="NormalWeb"/>
        <w:spacing w:before="0" w:beforeAutospacing="0" w:after="0" w:afterAutospacing="0" w:line="276" w:lineRule="auto"/>
        <w:jc w:val="both"/>
        <w:rPr>
          <w:rFonts w:ascii="Sylfaen" w:hAnsi="Sylfaen" w:cs="Arial Unicode"/>
          <w:bCs/>
          <w:shd w:val="clear" w:color="auto" w:fill="FFFFFF"/>
          <w:lang w:val="hy-AM"/>
        </w:rPr>
      </w:pPr>
      <w:r w:rsidRPr="006666FA">
        <w:rPr>
          <w:rFonts w:ascii="Sylfaen" w:hAnsi="Sylfaen" w:cs="Arial Unicode"/>
          <w:bCs/>
          <w:shd w:val="clear" w:color="auto" w:fill="FFFFFF"/>
          <w:lang w:val="hy-AM"/>
        </w:rPr>
        <w:tab/>
      </w:r>
      <w:r w:rsidRPr="006666FA">
        <w:rPr>
          <w:rFonts w:ascii="Sylfaen" w:hAnsi="Sylfaen" w:cs="Arial Unicode"/>
          <w:b/>
          <w:bCs/>
          <w:shd w:val="clear" w:color="auto" w:fill="FFFFFF"/>
          <w:lang w:val="hy-AM"/>
        </w:rPr>
        <w:t xml:space="preserve">Հոդված 2. </w:t>
      </w:r>
      <w:r w:rsidRPr="006666FA">
        <w:rPr>
          <w:rFonts w:ascii="Sylfaen" w:hAnsi="Sylfaen" w:cs="Arial Unicode"/>
          <w:bCs/>
          <w:shd w:val="clear" w:color="auto" w:fill="FFFFFF"/>
          <w:lang w:val="hy-AM"/>
        </w:rPr>
        <w:t>Օրենքի 10-րդ հոդվածի 2-րդ մասի 1-ին, 2-րդ, 3-րդ, 4-րդ և 5-րդ կետերը շարադրել նոր խմբագրությամբ՝ հետևյալ բովանդակությամբ՝</w:t>
      </w:r>
    </w:p>
    <w:p w14:paraId="5C1F4461" w14:textId="77777777" w:rsidR="006666FA" w:rsidRPr="006666FA" w:rsidRDefault="006666FA" w:rsidP="006666FA">
      <w:pPr>
        <w:pStyle w:val="NormalWeb"/>
        <w:spacing w:before="0" w:beforeAutospacing="0" w:after="0" w:afterAutospacing="0" w:line="276" w:lineRule="auto"/>
        <w:jc w:val="both"/>
        <w:rPr>
          <w:rFonts w:ascii="Sylfaen" w:hAnsi="Sylfaen" w:cs="Arial Unicode"/>
          <w:bCs/>
          <w:shd w:val="clear" w:color="auto" w:fill="FFFFFF"/>
          <w:lang w:val="hy-AM"/>
        </w:rPr>
      </w:pPr>
      <w:r w:rsidRPr="006666FA">
        <w:rPr>
          <w:rFonts w:ascii="Sylfaen" w:hAnsi="Sylfaen" w:cs="Arial Unicode"/>
          <w:bCs/>
          <w:shd w:val="clear" w:color="auto" w:fill="FFFFFF"/>
          <w:lang w:val="hy-AM"/>
        </w:rPr>
        <w:tab/>
        <w:t>«1) յուրաքանչյուր մեկ ժամվա համար` մինչև 1000 դրամ ներառյալ.</w:t>
      </w:r>
    </w:p>
    <w:p w14:paraId="368F1295" w14:textId="2033BC86" w:rsidR="006666FA" w:rsidRPr="006666FA" w:rsidRDefault="006666FA" w:rsidP="006666FA">
      <w:pPr>
        <w:pStyle w:val="NormalWeb"/>
        <w:spacing w:before="0" w:beforeAutospacing="0" w:after="0" w:afterAutospacing="0" w:line="276" w:lineRule="auto"/>
        <w:jc w:val="both"/>
        <w:rPr>
          <w:rFonts w:ascii="Sylfaen" w:hAnsi="Sylfaen" w:cs="Arial Unicode"/>
          <w:bCs/>
          <w:shd w:val="clear" w:color="auto" w:fill="FFFFFF"/>
          <w:lang w:val="hy-AM"/>
        </w:rPr>
      </w:pPr>
      <w:r w:rsidRPr="006666FA">
        <w:rPr>
          <w:rFonts w:ascii="Sylfaen" w:hAnsi="Sylfaen" w:cs="Arial Unicode"/>
          <w:bCs/>
          <w:shd w:val="clear" w:color="auto" w:fill="FFFFFF"/>
          <w:lang w:val="hy-AM"/>
        </w:rPr>
        <w:tab/>
        <w:t xml:space="preserve">2) յուրաքանչյուր մեկ օրվա համար` մինչև </w:t>
      </w:r>
      <w:r>
        <w:rPr>
          <w:rFonts w:ascii="Sylfaen" w:hAnsi="Sylfaen" w:cs="Arial Unicode"/>
          <w:bCs/>
          <w:shd w:val="clear" w:color="auto" w:fill="FFFFFF"/>
          <w:lang w:val="hy-AM"/>
        </w:rPr>
        <w:t>50</w:t>
      </w:r>
      <w:r w:rsidRPr="006666FA">
        <w:rPr>
          <w:rFonts w:ascii="Sylfaen" w:hAnsi="Sylfaen" w:cs="Arial Unicode"/>
          <w:bCs/>
          <w:shd w:val="clear" w:color="auto" w:fill="FFFFFF"/>
          <w:lang w:val="hy-AM"/>
        </w:rPr>
        <w:t>00 դրամ ներառյալ.</w:t>
      </w:r>
    </w:p>
    <w:p w14:paraId="29C8B3B3" w14:textId="131028F4" w:rsidR="006666FA" w:rsidRPr="006666FA" w:rsidRDefault="006666FA" w:rsidP="006666FA">
      <w:pPr>
        <w:pStyle w:val="NormalWeb"/>
        <w:spacing w:before="0" w:beforeAutospacing="0" w:after="0" w:afterAutospacing="0" w:line="276" w:lineRule="auto"/>
        <w:jc w:val="both"/>
        <w:rPr>
          <w:rFonts w:ascii="Sylfaen" w:hAnsi="Sylfaen" w:cs="Arial Unicode"/>
          <w:bCs/>
          <w:shd w:val="clear" w:color="auto" w:fill="FFFFFF"/>
          <w:lang w:val="hy-AM"/>
        </w:rPr>
      </w:pPr>
      <w:r w:rsidRPr="006666FA">
        <w:rPr>
          <w:rFonts w:ascii="Sylfaen" w:hAnsi="Sylfaen" w:cs="Arial Unicode"/>
          <w:bCs/>
          <w:shd w:val="clear" w:color="auto" w:fill="FFFFFF"/>
          <w:lang w:val="hy-AM"/>
        </w:rPr>
        <w:tab/>
        <w:t>3) մեկ շաբաթվա համար` մինչև 1</w:t>
      </w:r>
      <w:r>
        <w:rPr>
          <w:rFonts w:ascii="Sylfaen" w:hAnsi="Sylfaen" w:cs="Arial Unicode"/>
          <w:bCs/>
          <w:shd w:val="clear" w:color="auto" w:fill="FFFFFF"/>
          <w:lang w:val="hy-AM"/>
        </w:rPr>
        <w:t>0</w:t>
      </w:r>
      <w:r w:rsidRPr="006666FA">
        <w:rPr>
          <w:rFonts w:ascii="Sylfaen" w:hAnsi="Sylfaen" w:cs="Arial Unicode"/>
          <w:bCs/>
          <w:shd w:val="clear" w:color="auto" w:fill="FFFFFF"/>
          <w:lang w:val="hy-AM"/>
        </w:rPr>
        <w:t>000 դրամ ներառյալ.</w:t>
      </w:r>
    </w:p>
    <w:p w14:paraId="13A29E24" w14:textId="38BD0B1A" w:rsidR="006666FA" w:rsidRPr="006666FA" w:rsidRDefault="006666FA" w:rsidP="006666FA">
      <w:pPr>
        <w:pStyle w:val="NormalWeb"/>
        <w:spacing w:before="0" w:beforeAutospacing="0" w:after="0" w:afterAutospacing="0" w:line="276" w:lineRule="auto"/>
        <w:jc w:val="both"/>
        <w:rPr>
          <w:rFonts w:ascii="Sylfaen" w:hAnsi="Sylfaen" w:cs="Arial Unicode"/>
          <w:bCs/>
          <w:shd w:val="clear" w:color="auto" w:fill="FFFFFF"/>
          <w:lang w:val="hy-AM"/>
        </w:rPr>
      </w:pPr>
      <w:r w:rsidRPr="006666FA">
        <w:rPr>
          <w:rFonts w:ascii="Sylfaen" w:hAnsi="Sylfaen" w:cs="Arial Unicode"/>
          <w:bCs/>
          <w:shd w:val="clear" w:color="auto" w:fill="FFFFFF"/>
          <w:lang w:val="hy-AM"/>
        </w:rPr>
        <w:tab/>
        <w:t xml:space="preserve">4) մեկ ամսվա համար` մինչև </w:t>
      </w:r>
      <w:r>
        <w:rPr>
          <w:rFonts w:ascii="Sylfaen" w:hAnsi="Sylfaen" w:cs="Arial Unicode"/>
          <w:bCs/>
          <w:shd w:val="clear" w:color="auto" w:fill="FFFFFF"/>
          <w:lang w:val="hy-AM"/>
        </w:rPr>
        <w:t>80</w:t>
      </w:r>
      <w:r w:rsidRPr="006666FA">
        <w:rPr>
          <w:rFonts w:ascii="Sylfaen" w:hAnsi="Sylfaen" w:cs="Arial Unicode"/>
          <w:bCs/>
          <w:shd w:val="clear" w:color="auto" w:fill="FFFFFF"/>
          <w:lang w:val="hy-AM"/>
        </w:rPr>
        <w:t>000 դրամ ներառյալ.</w:t>
      </w:r>
    </w:p>
    <w:p w14:paraId="609982D3" w14:textId="77777777" w:rsidR="006666FA" w:rsidRPr="00553008" w:rsidRDefault="006666FA" w:rsidP="006666FA">
      <w:pPr>
        <w:pStyle w:val="NormalWeb"/>
        <w:spacing w:before="0" w:beforeAutospacing="0" w:after="0" w:afterAutospacing="0" w:line="276" w:lineRule="auto"/>
        <w:jc w:val="both"/>
        <w:rPr>
          <w:rFonts w:ascii="Sylfaen" w:hAnsi="Sylfaen" w:cs="Arial Unicode"/>
          <w:bCs/>
          <w:shd w:val="clear" w:color="auto" w:fill="FFFFFF"/>
          <w:lang w:val="hy-AM"/>
        </w:rPr>
      </w:pPr>
      <w:r w:rsidRPr="006666FA">
        <w:rPr>
          <w:rFonts w:ascii="Sylfaen" w:hAnsi="Sylfaen" w:cs="Arial Unicode"/>
          <w:bCs/>
          <w:shd w:val="clear" w:color="auto" w:fill="FFFFFF"/>
          <w:lang w:val="hy-AM"/>
        </w:rPr>
        <w:tab/>
        <w:t>5) մեկ տարվա համար` մինչև 1000000 դրամ ներառյալ:».</w:t>
      </w:r>
    </w:p>
    <w:p w14:paraId="6D1F1E5A" w14:textId="3C1B37FA"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r>
      <w:r w:rsidRPr="00297C95">
        <w:rPr>
          <w:rFonts w:ascii="Sylfaen" w:hAnsi="Sylfaen" w:cs="Arial Unicode"/>
          <w:b/>
          <w:bCs/>
          <w:shd w:val="clear" w:color="auto" w:fill="FFFFFF"/>
          <w:lang w:val="hy-AM"/>
        </w:rPr>
        <w:t xml:space="preserve">Հոդված </w:t>
      </w:r>
      <w:r w:rsidR="0098078F">
        <w:rPr>
          <w:rFonts w:ascii="Sylfaen" w:hAnsi="Sylfaen" w:cs="Arial Unicode"/>
          <w:b/>
          <w:bCs/>
          <w:shd w:val="clear" w:color="auto" w:fill="FFFFFF"/>
          <w:lang w:val="hy-AM"/>
        </w:rPr>
        <w:t>3</w:t>
      </w:r>
      <w:r w:rsidRPr="00297C95">
        <w:rPr>
          <w:rFonts w:ascii="Sylfaen" w:hAnsi="Sylfaen" w:cs="Arial Unicode"/>
          <w:bCs/>
          <w:shd w:val="clear" w:color="auto" w:fill="FFFFFF"/>
          <w:lang w:val="hy-AM"/>
        </w:rPr>
        <w:t>. Օրենքի 18-րդ հոդվածը շարադրել նոր խմբագրությամբ.</w:t>
      </w:r>
    </w:p>
    <w:p w14:paraId="5DDC46CC"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w:t>
      </w:r>
      <w:r w:rsidRPr="00297C95">
        <w:rPr>
          <w:rFonts w:ascii="Sylfaen" w:hAnsi="Sylfaen" w:cs="Arial Unicode"/>
          <w:b/>
          <w:bCs/>
          <w:shd w:val="clear" w:color="auto" w:fill="FFFFFF"/>
          <w:lang w:val="hy-AM"/>
        </w:rPr>
        <w:t>Հոդված 18.</w:t>
      </w:r>
      <w:r w:rsidRPr="00297C95">
        <w:rPr>
          <w:rFonts w:ascii="Sylfaen" w:hAnsi="Sylfaen" w:cs="Arial Unicode"/>
          <w:bCs/>
          <w:shd w:val="clear" w:color="auto" w:fill="FFFFFF"/>
          <w:lang w:val="hy-AM"/>
        </w:rPr>
        <w:t xml:space="preserve"> </w:t>
      </w:r>
      <w:r w:rsidRPr="00297C95">
        <w:rPr>
          <w:rFonts w:ascii="Sylfaen" w:hAnsi="Sylfaen" w:cs="Arial Unicode"/>
          <w:b/>
          <w:bCs/>
          <w:shd w:val="clear" w:color="auto" w:fill="FFFFFF"/>
          <w:lang w:val="hy-AM"/>
        </w:rPr>
        <w:t>Ավտոկայանատեղի վճարի վճարված գումարները վերադարձնելը</w:t>
      </w:r>
    </w:p>
    <w:p w14:paraId="6694F3B9" w14:textId="77777777" w:rsidR="009957CF" w:rsidRPr="00297C95" w:rsidRDefault="009957CF" w:rsidP="009957CF">
      <w:pPr>
        <w:pStyle w:val="NormalWeb"/>
        <w:spacing w:before="0" w:beforeAutospacing="0" w:after="0" w:afterAutospacing="0" w:line="276" w:lineRule="auto"/>
        <w:jc w:val="both"/>
        <w:rPr>
          <w:rFonts w:ascii="Sylfaen" w:hAnsi="Sylfaen" w:cs="Arial Unicode"/>
          <w:b/>
          <w:bCs/>
          <w:shd w:val="clear" w:color="auto" w:fill="FFFFFF"/>
          <w:lang w:val="hy-AM"/>
        </w:rPr>
      </w:pPr>
      <w:r w:rsidRPr="00297C95">
        <w:rPr>
          <w:rFonts w:ascii="Sylfaen" w:hAnsi="Sylfaen" w:cs="Arial Unicode"/>
          <w:bCs/>
          <w:shd w:val="clear" w:color="auto" w:fill="FFFFFF"/>
          <w:lang w:val="hy-AM"/>
        </w:rPr>
        <w:tab/>
        <w:t>1.</w:t>
      </w:r>
      <w:r w:rsidRPr="00297C95">
        <w:rPr>
          <w:rFonts w:ascii="Sylfaen" w:hAnsi="Sylfaen" w:cs="Arial Unicode"/>
          <w:b/>
          <w:bCs/>
          <w:shd w:val="clear" w:color="auto" w:fill="FFFFFF"/>
          <w:lang w:val="hy-AM"/>
        </w:rPr>
        <w:t xml:space="preserve"> </w:t>
      </w:r>
      <w:r w:rsidRPr="00297C95">
        <w:rPr>
          <w:rFonts w:ascii="Sylfaen" w:hAnsi="Sylfaen" w:cs="Arial Unicode"/>
          <w:bCs/>
          <w:shd w:val="clear" w:color="auto" w:fill="FFFFFF"/>
          <w:lang w:val="hy-AM"/>
        </w:rPr>
        <w:t>Ավտոկայանատեղի վճարի ավել վճարված գումարները ենթակա են վերադարձման ավտոկայանատեղի վճար վճարողի կողմից համայնքի ղեկավարին ներկայացված դիմումի հիման վրա` դիմումը ներկայացնելու օրվան հաջորդող 30 աշխատանքային օրվա ընթացքում</w:t>
      </w:r>
      <w:r w:rsidRPr="00297C95">
        <w:rPr>
          <w:rFonts w:ascii="Sylfaen" w:hAnsi="Sylfaen" w:cs="Arial Unicode"/>
          <w:b/>
          <w:bCs/>
          <w:shd w:val="clear" w:color="auto" w:fill="FFFFFF"/>
          <w:lang w:val="hy-AM"/>
        </w:rPr>
        <w:t>:</w:t>
      </w:r>
    </w:p>
    <w:p w14:paraId="7B56E475" w14:textId="77777777" w:rsidR="009957CF" w:rsidRPr="00297C95" w:rsidRDefault="009957CF" w:rsidP="009957CF">
      <w:pPr>
        <w:pStyle w:val="NormalWeb"/>
        <w:spacing w:before="0" w:beforeAutospacing="0" w:after="0" w:afterAutospacing="0" w:line="276" w:lineRule="auto"/>
        <w:jc w:val="both"/>
        <w:rPr>
          <w:rFonts w:ascii="Sylfaen" w:hAnsi="Sylfaen" w:cs="Arial Unicode"/>
          <w:b/>
          <w:bCs/>
          <w:shd w:val="clear" w:color="auto" w:fill="FFFFFF"/>
          <w:lang w:val="hy-AM"/>
        </w:rPr>
      </w:pPr>
      <w:r w:rsidRPr="00297C95">
        <w:rPr>
          <w:rFonts w:ascii="Sylfaen" w:hAnsi="Sylfaen" w:cs="Arial Unicode"/>
          <w:bCs/>
          <w:shd w:val="clear" w:color="auto" w:fill="FFFFFF"/>
          <w:lang w:val="hy-AM"/>
        </w:rPr>
        <w:tab/>
        <w:t>2. Ավտոկայանատեղի վճարի վճարված գումարները ենթակա են վերադարձման նաև այն դեպքերում, երբ սույն օրենքով նախատեսված տեղական վճարը վճարվել է ավտոտրանսպորտային միջոցի այնպիսի հաշվառման համարանիշի նշմամբ, որը տեղական վճարը վճարելու պահից մինչև վճարված գումարը վերադարձնելու դիմումի ներկայացման պահը հատկացված չի եղել (ներառված է եղել ազատ համարանիշների ցանկում) կամ համապատասխան վավերապայմաններով նշված հաշվառման համարանիշ առկա չէ: Սույն մասում նախատեսված դեպքերում տեղական վճարի վճարված գումարները ենթակա են վերադարձման ավտոկայանատեղի վճար վճարողի կողմից համայնքի ղեկավարին ներկայացված դիմումի հիման վրա՝ դիմումը ներկայացնելու օրվան հաջորդող 30 աշխատանքային օրվա ընթացքում</w:t>
      </w:r>
      <w:r w:rsidRPr="00297C95">
        <w:rPr>
          <w:rFonts w:ascii="Sylfaen" w:hAnsi="Sylfaen" w:cs="Arial Unicode"/>
          <w:b/>
          <w:bCs/>
          <w:shd w:val="clear" w:color="auto" w:fill="FFFFFF"/>
          <w:lang w:val="hy-AM"/>
        </w:rPr>
        <w:t xml:space="preserve">: </w:t>
      </w:r>
    </w:p>
    <w:p w14:paraId="4F875E0E"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3.  Սույն հոդվածի 2-րդ մասով նախատեսված դիմումի հիմքում ընկած փաստերի ապացուցման պարտականությունը կրում է դիմումատուն: Սույն հոդվածի 2-րդ մասով նախատեսված փաստերն ապացուցված չլինելու դեպքում դիմումը ենթակա է մերժման՝ սույն հոդվածի 2-րդ մասով սահմանված ժամկետում:</w:t>
      </w:r>
    </w:p>
    <w:p w14:paraId="17301B2D"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 xml:space="preserve">4. Ավտոկայանատեղի վճարի վճարումից հետո ավտոտրանսպորտային միջոցի կամ հաշվառման համարանիշի փոփոխման դեպքում վճարված տեղական վճարի </w:t>
      </w:r>
      <w:r w:rsidRPr="00297C95">
        <w:rPr>
          <w:rFonts w:ascii="Sylfaen" w:hAnsi="Sylfaen" w:cs="Arial Unicode"/>
          <w:bCs/>
          <w:shd w:val="clear" w:color="auto" w:fill="FFFFFF"/>
          <w:lang w:val="hy-AM"/>
        </w:rPr>
        <w:lastRenderedPageBreak/>
        <w:t>գումարը ենթակա չէ վերադարձման և (կամ) հաշվանցման (այլ ավտոտրանսպորտային միջոցի կամ հաշվառման համարանիշի համար կիրառման):»:</w:t>
      </w:r>
    </w:p>
    <w:p w14:paraId="2B8F49E4" w14:textId="6509742D" w:rsidR="009957CF" w:rsidRPr="00297C95" w:rsidRDefault="009957CF" w:rsidP="009957CF">
      <w:pPr>
        <w:pStyle w:val="NormalWeb"/>
        <w:spacing w:before="0" w:beforeAutospacing="0" w:after="0" w:afterAutospacing="0" w:line="276" w:lineRule="auto"/>
        <w:jc w:val="both"/>
        <w:rPr>
          <w:rFonts w:ascii="Sylfaen" w:hAnsi="Sylfaen" w:cs="Arial Unicode"/>
          <w:b/>
          <w:bCs/>
          <w:shd w:val="clear" w:color="auto" w:fill="FFFFFF"/>
          <w:lang w:val="hy-AM"/>
        </w:rPr>
      </w:pPr>
      <w:r w:rsidRPr="00297C95">
        <w:rPr>
          <w:rFonts w:ascii="Sylfaen" w:hAnsi="Sylfaen" w:cs="Arial Unicode"/>
          <w:bCs/>
          <w:shd w:val="clear" w:color="auto" w:fill="FFFFFF"/>
          <w:lang w:val="hy-AM"/>
        </w:rPr>
        <w:tab/>
      </w:r>
      <w:r w:rsidRPr="00297C95">
        <w:rPr>
          <w:rFonts w:ascii="Sylfaen" w:hAnsi="Sylfaen" w:cs="Arial Unicode"/>
          <w:b/>
          <w:bCs/>
          <w:shd w:val="clear" w:color="auto" w:fill="FFFFFF"/>
          <w:lang w:val="hy-AM"/>
        </w:rPr>
        <w:t xml:space="preserve">Հոդված </w:t>
      </w:r>
      <w:r w:rsidR="0098078F">
        <w:rPr>
          <w:rFonts w:ascii="Sylfaen" w:hAnsi="Sylfaen" w:cs="Arial Unicode"/>
          <w:b/>
          <w:bCs/>
          <w:shd w:val="clear" w:color="auto" w:fill="FFFFFF"/>
          <w:lang w:val="hy-AM"/>
        </w:rPr>
        <w:t>4</w:t>
      </w:r>
      <w:r w:rsidRPr="00297C95">
        <w:rPr>
          <w:rFonts w:ascii="Sylfaen" w:hAnsi="Sylfaen" w:cs="Arial Unicode"/>
          <w:b/>
          <w:bCs/>
          <w:shd w:val="clear" w:color="auto" w:fill="FFFFFF"/>
          <w:lang w:val="hy-AM"/>
        </w:rPr>
        <w:t>.</w:t>
      </w:r>
      <w:r w:rsidRPr="00297C95">
        <w:rPr>
          <w:rFonts w:ascii="Sylfaen" w:hAnsi="Sylfaen" w:cs="Arial Unicode"/>
          <w:bCs/>
          <w:shd w:val="clear" w:color="auto" w:fill="FFFFFF"/>
          <w:lang w:val="hy-AM"/>
        </w:rPr>
        <w:t xml:space="preserve"> </w:t>
      </w:r>
      <w:r w:rsidRPr="00297C95">
        <w:rPr>
          <w:rFonts w:ascii="Sylfaen" w:hAnsi="Sylfaen" w:cs="Arial Unicode"/>
          <w:b/>
          <w:bCs/>
          <w:shd w:val="clear" w:color="auto" w:fill="FFFFFF"/>
          <w:lang w:val="hy-AM"/>
        </w:rPr>
        <w:t>Եզրափակիչ մաս և անցումային դրույթներ</w:t>
      </w:r>
    </w:p>
    <w:p w14:paraId="331280AD"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ab/>
      </w:r>
      <w:r w:rsidRPr="00297C95">
        <w:rPr>
          <w:rFonts w:ascii="Sylfaen" w:hAnsi="Sylfaen" w:cs="Arial Unicode"/>
          <w:bCs/>
          <w:shd w:val="clear" w:color="auto" w:fill="FFFFFF"/>
          <w:lang w:val="hy-AM"/>
        </w:rPr>
        <w:t>1.</w:t>
      </w:r>
      <w:r w:rsidRPr="00297C95">
        <w:rPr>
          <w:rFonts w:ascii="Sylfaen" w:hAnsi="Sylfaen" w:cs="Arial Unicode"/>
          <w:b/>
          <w:bCs/>
          <w:shd w:val="clear" w:color="auto" w:fill="FFFFFF"/>
          <w:lang w:val="hy-AM"/>
        </w:rPr>
        <w:t xml:space="preserve"> </w:t>
      </w:r>
      <w:r w:rsidRPr="00297C95">
        <w:rPr>
          <w:rFonts w:ascii="Sylfaen" w:hAnsi="Sylfaen" w:cs="Arial Unicode"/>
          <w:bCs/>
          <w:shd w:val="clear" w:color="auto" w:fill="FFFFFF"/>
          <w:lang w:val="hy-AM"/>
        </w:rPr>
        <w:t xml:space="preserve">Սույն օրենքն ուժի մեջ է մտնում պաշտոնական հրապարակման օրվան հաջորդող օրը: </w:t>
      </w:r>
    </w:p>
    <w:p w14:paraId="67DF464F" w14:textId="355F28C6"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 xml:space="preserve">2. Սույն օրենքի </w:t>
      </w:r>
      <w:r w:rsidR="0098078F">
        <w:rPr>
          <w:rFonts w:ascii="Sylfaen" w:hAnsi="Sylfaen" w:cs="Arial Unicode"/>
          <w:bCs/>
          <w:shd w:val="clear" w:color="auto" w:fill="FFFFFF"/>
          <w:lang w:val="hy-AM"/>
        </w:rPr>
        <w:t>3</w:t>
      </w:r>
      <w:r w:rsidRPr="00297C95">
        <w:rPr>
          <w:rFonts w:ascii="Sylfaen" w:hAnsi="Sylfaen" w:cs="Arial Unicode"/>
          <w:bCs/>
          <w:shd w:val="clear" w:color="auto" w:fill="FFFFFF"/>
          <w:lang w:val="hy-AM"/>
        </w:rPr>
        <w:t>-րդ հոդվածով «Ավտոտրանսպորտային միջոցների կայանատեղերի տեղական վճարի և վարչական վարույթի առանձնահատկությունների մասին» օրենքի նոր խմբագրությամբ շարադրվող 18-րդ հոդվածի 2-4-րդ մասերով նախատեսված կարգավորումների գործողությունը տարածվում է սույն օրենքն ուժի մեջ մտնելուց հետո ծագած հարաբերությունների վրա:</w:t>
      </w:r>
    </w:p>
    <w:p w14:paraId="7B994041" w14:textId="603AC32B" w:rsidR="009957CF" w:rsidRPr="00297C95" w:rsidRDefault="009957CF" w:rsidP="009957CF">
      <w:pPr>
        <w:pStyle w:val="NormalWeb"/>
        <w:spacing w:before="0" w:beforeAutospacing="0" w:after="0" w:afterAutospacing="0" w:line="276" w:lineRule="auto"/>
        <w:jc w:val="both"/>
        <w:rPr>
          <w:rFonts w:ascii="Sylfaen" w:hAnsi="Sylfaen" w:cs="Arial Unicode"/>
          <w:b/>
          <w:bCs/>
          <w:shd w:val="clear" w:color="auto" w:fill="FFFFFF"/>
          <w:lang w:val="hy-AM"/>
        </w:rPr>
      </w:pPr>
      <w:r w:rsidRPr="00297C95">
        <w:rPr>
          <w:rFonts w:ascii="Sylfaen" w:hAnsi="Sylfaen" w:cs="Arial Unicode"/>
          <w:bCs/>
          <w:shd w:val="clear" w:color="auto" w:fill="FFFFFF"/>
          <w:lang w:val="hy-AM"/>
        </w:rPr>
        <w:tab/>
        <w:t>3. Սույն օրենքն ուժի մեջ մտնելուց հետո համայնքի ավագանու կողմից տվյալ տարվա համար արդեն իսկ ընդունված ավտոկայանատեղի տեղական վճարի դրույքաչափերը սահմանող իրավական ակտ</w:t>
      </w:r>
      <w:r w:rsidR="005D31D0">
        <w:rPr>
          <w:rFonts w:ascii="Sylfaen" w:hAnsi="Sylfaen" w:cs="Arial Unicode"/>
          <w:bCs/>
          <w:shd w:val="clear" w:color="auto" w:fill="FFFFFF"/>
          <w:lang w:val="hy-AM"/>
        </w:rPr>
        <w:t>եր</w:t>
      </w:r>
      <w:r w:rsidRPr="00297C95">
        <w:rPr>
          <w:rFonts w:ascii="Sylfaen" w:hAnsi="Sylfaen" w:cs="Arial Unicode"/>
          <w:bCs/>
          <w:shd w:val="clear" w:color="auto" w:fill="FFFFFF"/>
          <w:lang w:val="hy-AM"/>
        </w:rPr>
        <w:t>ո</w:t>
      </w:r>
      <w:r w:rsidR="005D31D0">
        <w:rPr>
          <w:rFonts w:ascii="Sylfaen" w:hAnsi="Sylfaen" w:cs="Arial Unicode"/>
          <w:bCs/>
          <w:shd w:val="clear" w:color="auto" w:fill="FFFFFF"/>
          <w:lang w:val="hy-AM"/>
        </w:rPr>
        <w:t>ւմ</w:t>
      </w:r>
      <w:r w:rsidRPr="00297C95">
        <w:rPr>
          <w:rFonts w:ascii="Sylfaen" w:hAnsi="Sylfaen" w:cs="Arial Unicode"/>
          <w:bCs/>
          <w:shd w:val="clear" w:color="auto" w:fill="FFFFFF"/>
          <w:lang w:val="hy-AM"/>
        </w:rPr>
        <w:t xml:space="preserve"> համապատասխան փոփոխություններ կատարելու դեպքում</w:t>
      </w:r>
      <w:r w:rsidR="005D31D0">
        <w:rPr>
          <w:rFonts w:ascii="Sylfaen" w:hAnsi="Sylfaen" w:cs="Arial Unicode"/>
          <w:bCs/>
          <w:shd w:val="clear" w:color="auto" w:fill="FFFFFF"/>
          <w:lang w:val="hy-AM"/>
        </w:rPr>
        <w:t xml:space="preserve"> դրանք</w:t>
      </w:r>
      <w:r w:rsidRPr="00297C95">
        <w:rPr>
          <w:rFonts w:ascii="Sylfaen" w:hAnsi="Sylfaen" w:cs="Arial Unicode"/>
          <w:bCs/>
          <w:shd w:val="clear" w:color="auto" w:fill="FFFFFF"/>
          <w:lang w:val="hy-AM"/>
        </w:rPr>
        <w:t xml:space="preserve"> շարունակում են գործել որպես ընթացիկ՝ հաջորդ տարիների համար տվյալ համայնքում սահմանված ավտոկայանատեղի տեղական վճարի դրույքաչափեր</w:t>
      </w:r>
      <w:r w:rsidR="005D31D0">
        <w:rPr>
          <w:rFonts w:ascii="Sylfaen" w:hAnsi="Sylfaen" w:cs="Arial Unicode"/>
          <w:bCs/>
          <w:shd w:val="clear" w:color="auto" w:fill="FFFFFF"/>
          <w:lang w:val="hy-AM"/>
        </w:rPr>
        <w:t>ը սահմանող իրավական ակտեր</w:t>
      </w:r>
      <w:r w:rsidRPr="00297C95">
        <w:rPr>
          <w:rFonts w:ascii="Sylfaen" w:hAnsi="Sylfaen" w:cs="Arial Unicode"/>
          <w:bCs/>
          <w:shd w:val="clear" w:color="auto" w:fill="FFFFFF"/>
          <w:lang w:val="hy-AM"/>
        </w:rPr>
        <w:t>:</w:t>
      </w:r>
    </w:p>
    <w:p w14:paraId="4142EB9C"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3F558C06"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4FE99F8A"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509A5769"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4C182EA9"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56C2E93A"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0E7A3C20"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02615A3E"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6BCF9BFE"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16A04435"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1D656312"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55967DC2"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09635B9D"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43BE4B3C"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76591549"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52927F37"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592737D2"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50956122"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0DBC3A22"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090EE998"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1C242B63"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p w14:paraId="32A12D2A"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B8827" w14:textId="77777777" w:rsidR="00DB049E" w:rsidRDefault="00DB049E" w:rsidP="001109EC">
      <w:pPr>
        <w:spacing w:after="0" w:line="240" w:lineRule="auto"/>
      </w:pPr>
      <w:r>
        <w:separator/>
      </w:r>
    </w:p>
  </w:endnote>
  <w:endnote w:type="continuationSeparator" w:id="0">
    <w:p w14:paraId="3C3F860E" w14:textId="77777777" w:rsidR="00DB049E" w:rsidRDefault="00DB049E"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0AC47" w14:textId="77777777" w:rsidR="00DB049E" w:rsidRDefault="00DB049E" w:rsidP="001109EC">
      <w:pPr>
        <w:spacing w:after="0" w:line="240" w:lineRule="auto"/>
      </w:pPr>
      <w:r>
        <w:separator/>
      </w:r>
    </w:p>
  </w:footnote>
  <w:footnote w:type="continuationSeparator" w:id="0">
    <w:p w14:paraId="0030FB6C" w14:textId="77777777" w:rsidR="00DB049E" w:rsidRDefault="00DB049E"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28A4"/>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16C1B"/>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49E"/>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E35F-C2E1-4E1A-866E-B170C00EF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3</cp:revision>
  <cp:lastPrinted>2024-07-02T05:35:00Z</cp:lastPrinted>
  <dcterms:created xsi:type="dcterms:W3CDTF">2025-02-27T12:02:00Z</dcterms:created>
  <dcterms:modified xsi:type="dcterms:W3CDTF">2025-02-27T12:03:00Z</dcterms:modified>
</cp:coreProperties>
</file>