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9580A" w14:textId="77777777" w:rsidR="00E45DA4" w:rsidRPr="007D4835" w:rsidRDefault="00E45DA4" w:rsidP="00E45DA4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483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8331FB7" w14:textId="11BACB78" w:rsidR="00E45DA4" w:rsidRPr="007D4835" w:rsidRDefault="00E45DA4" w:rsidP="00542F0A">
      <w:pPr>
        <w:spacing w:before="280" w:after="28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7D4835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542F0A" w:rsidRPr="007D483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ՌԱԶՄԱԿԱՆ ԿԱՐԻՔՆԵՐԻ ՀԱՄԱՐ ՓՈՐՁԱՆՄՈՒՇՆԵՐԻ, ԼՐԱՄԱՍԵՐԻ ԵՎ ԲԱՂԱԴՐԻՉՆԵՐԻ ՖԻՆԱՆՍԱՎՈՐՄԱՆ ԿԱՐԳԸ</w:t>
      </w:r>
      <w:r w:rsidR="00542F0A" w:rsidRPr="007D483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ՀԱՍՏԱՏԵԼՈՒ ՄԱՍԻՆ</w:t>
      </w:r>
      <w:r w:rsidRPr="007D4835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="00542F0A" w:rsidRPr="007D4835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7D4835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</w:t>
      </w: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 xml:space="preserve"> ՎԵՐԱԲԵՐՅԱԼ</w:t>
      </w:r>
    </w:p>
    <w:p w14:paraId="5C54B680" w14:textId="77777777" w:rsidR="00E45DA4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</w:pPr>
    </w:p>
    <w:p w14:paraId="38EA32A1" w14:textId="77777777" w:rsidR="00E45DA4" w:rsidRPr="007D4835" w:rsidRDefault="00E45DA4" w:rsidP="00B73514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7D4835"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  <w:t>1.Ընթացիկ իրավիճակը, իրավական ակտի ընդունման անհրաժեշտությունը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</w:t>
      </w:r>
    </w:p>
    <w:p w14:paraId="0BA51412" w14:textId="04311AAA" w:rsidR="00E45DA4" w:rsidRPr="007D4835" w:rsidRDefault="00E45DA4" w:rsidP="00451621">
      <w:pPr>
        <w:spacing w:before="280" w:after="28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>«</w:t>
      </w:r>
      <w:r w:rsidR="00986ED7" w:rsidRPr="007D48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Ռազմական կարիքների համար փորձանմուշների, լրամասերի եվ բաղադրիչների ֆինանսավորման կարգը</w:t>
      </w:r>
      <w:r w:rsidR="00986ED7" w:rsidRPr="007D483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հաստատելու մասին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» </w:t>
      </w:r>
      <w:r w:rsidR="00451621" w:rsidRPr="007D4835">
        <w:rPr>
          <w:rFonts w:ascii="GHEA Grapalat" w:eastAsia="Calibri" w:hAnsi="GHEA Grapalat"/>
          <w:bCs/>
          <w:sz w:val="24"/>
          <w:szCs w:val="24"/>
          <w:lang w:val="hy-AM"/>
        </w:rPr>
        <w:t>որոշման</w:t>
      </w: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 xml:space="preserve">նախագծի (այսուհետ՝ Նախագիծ) մշակումը պայմանավորված է 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«Ռազմարդյունաբերական համալիրի մասին» </w:t>
      </w:r>
      <w:r w:rsidR="00651FF5" w:rsidRPr="007D4835">
        <w:rPr>
          <w:rFonts w:ascii="GHEA Grapalat" w:eastAsia="Calibri" w:hAnsi="GHEA Grapalat"/>
          <w:bCs/>
          <w:sz w:val="24"/>
          <w:szCs w:val="24"/>
          <w:lang w:val="hy-AM"/>
        </w:rPr>
        <w:t>օրենքի</w:t>
      </w:r>
      <w:r w:rsidR="006F26C1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(այսուհետ՝ Օրենք)</w:t>
      </w:r>
      <w:r w:rsidR="006F26C1" w:rsidRPr="007D4835">
        <w:rPr>
          <w:rFonts w:ascii="GHEA Grapalat" w:eastAsiaTheme="minorEastAsia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651FF5" w:rsidRPr="007D4835">
        <w:rPr>
          <w:rFonts w:ascii="GHEA Grapalat" w:eastAsia="Calibri" w:hAnsi="GHEA Grapalat"/>
          <w:bCs/>
          <w:sz w:val="24"/>
          <w:szCs w:val="24"/>
          <w:lang w:val="hy-AM"/>
        </w:rPr>
        <w:t>6-րդ հոդվածի 1-ին մասի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651FF5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2-րդ կետի </w:t>
      </w:r>
      <w:r w:rsidR="00AD1088">
        <w:rPr>
          <w:rFonts w:ascii="GHEA Grapalat" w:eastAsia="Calibri" w:hAnsi="GHEA Grapalat"/>
          <w:bCs/>
          <w:sz w:val="24"/>
          <w:szCs w:val="24"/>
          <w:lang w:val="hy-AM"/>
        </w:rPr>
        <w:t>«</w:t>
      </w:r>
      <w:r w:rsidR="006F26C1" w:rsidRPr="007D4835">
        <w:rPr>
          <w:rFonts w:ascii="GHEA Grapalat" w:eastAsia="Calibri" w:hAnsi="GHEA Grapalat"/>
          <w:bCs/>
          <w:sz w:val="24"/>
          <w:szCs w:val="24"/>
          <w:lang w:val="hy-AM"/>
        </w:rPr>
        <w:t>ժե</w:t>
      </w:r>
      <w:r w:rsidR="00AD1088">
        <w:rPr>
          <w:rFonts w:ascii="GHEA Grapalat" w:eastAsia="Calibri" w:hAnsi="GHEA Grapalat"/>
          <w:bCs/>
          <w:sz w:val="24"/>
          <w:szCs w:val="24"/>
          <w:lang w:val="hy-AM"/>
        </w:rPr>
        <w:t>»</w:t>
      </w:r>
      <w:r w:rsidR="006F26C1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ենթակետում սահմանված՝ </w:t>
      </w:r>
      <w:r w:rsidR="00433B5B" w:rsidRPr="007D4835">
        <w:rPr>
          <w:rFonts w:ascii="GHEA Grapalat" w:eastAsia="Calibri" w:hAnsi="GHEA Grapalat"/>
          <w:bCs/>
          <w:sz w:val="24"/>
          <w:szCs w:val="24"/>
          <w:lang w:val="hy-AM"/>
        </w:rPr>
        <w:t>«ռազմական կարիքների համար փորձանմուշների, լրամասերի և բաղադրիչների ֆինանսավորման կարգը» հաս</w:t>
      </w:r>
      <w:r w:rsidR="007B0B13" w:rsidRPr="007D4835">
        <w:rPr>
          <w:rFonts w:ascii="GHEA Grapalat" w:eastAsia="Calibri" w:hAnsi="GHEA Grapalat"/>
          <w:bCs/>
          <w:sz w:val="24"/>
          <w:szCs w:val="24"/>
          <w:lang w:val="hy-AM"/>
        </w:rPr>
        <w:t>տատելու դրույթից</w:t>
      </w:r>
      <w:r w:rsidR="00926EDB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, ռազմական նշանակության ապրանքի պետական փորձարկման համար անհրաժեշտ քանակի ֆինանսավորման </w:t>
      </w:r>
      <w:r w:rsidR="00AD1088">
        <w:rPr>
          <w:rFonts w:ascii="GHEA Grapalat" w:eastAsia="Calibri" w:hAnsi="GHEA Grapalat"/>
          <w:bCs/>
          <w:sz w:val="24"/>
          <w:szCs w:val="24"/>
          <w:lang w:val="hy-AM"/>
        </w:rPr>
        <w:t xml:space="preserve">իրավահարաբերությունները </w:t>
      </w:r>
      <w:r w:rsidR="00926EDB" w:rsidRPr="007D4835">
        <w:rPr>
          <w:rFonts w:ascii="GHEA Grapalat" w:eastAsia="Calibri" w:hAnsi="GHEA Grapalat"/>
          <w:bCs/>
          <w:sz w:val="24"/>
          <w:szCs w:val="24"/>
          <w:lang w:val="hy-AM"/>
        </w:rPr>
        <w:t>սահմանելու</w:t>
      </w:r>
      <w:r w:rsidR="00571021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և </w:t>
      </w:r>
      <w:r w:rsidR="00AD1088">
        <w:rPr>
          <w:rFonts w:ascii="GHEA Grapalat" w:eastAsia="Calibri" w:hAnsi="GHEA Grapalat"/>
          <w:bCs/>
          <w:sz w:val="24"/>
          <w:szCs w:val="24"/>
          <w:lang w:val="hy-AM"/>
        </w:rPr>
        <w:t>դրանք</w:t>
      </w:r>
      <w:r w:rsidR="00926EDB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571021" w:rsidRPr="007D4835">
        <w:rPr>
          <w:rFonts w:ascii="GHEA Grapalat" w:eastAsia="Calibri" w:hAnsi="GHEA Grapalat"/>
          <w:bCs/>
          <w:sz w:val="24"/>
          <w:szCs w:val="24"/>
          <w:lang w:val="hy-AM"/>
        </w:rPr>
        <w:t>կանոնակարգելու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անհրաժեշտությամբ:</w:t>
      </w:r>
    </w:p>
    <w:p w14:paraId="56FFB840" w14:textId="77777777" w:rsidR="00E45DA4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>2.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Առաջարկվող կարգավորման բնույթը.</w:t>
      </w:r>
    </w:p>
    <w:p w14:paraId="2B4C548E" w14:textId="50629448" w:rsidR="00E45DA4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sz w:val="24"/>
          <w:szCs w:val="24"/>
          <w:lang w:val="hy-AM"/>
        </w:rPr>
        <w:t>Նախագծով առաջարկվում է իրավական հիմքեր ստեղծել</w:t>
      </w:r>
      <w:r w:rsidRPr="007D483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>Հայաստանի Հանրապետության կառավարության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ռազմարդյունաբերության ոլորտում պետական լիազոր մարմնի </w:t>
      </w:r>
      <w:r w:rsidR="006A4FAD" w:rsidRPr="007D4835">
        <w:rPr>
          <w:rFonts w:ascii="GHEA Grapalat" w:eastAsia="Calibri" w:hAnsi="GHEA Grapalat"/>
          <w:bCs/>
          <w:sz w:val="24"/>
          <w:szCs w:val="24"/>
          <w:lang w:val="hy-AM"/>
        </w:rPr>
        <w:t>և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7F6CE4" w:rsidRPr="007D4835">
        <w:rPr>
          <w:rFonts w:ascii="GHEA Grapalat" w:eastAsia="Calibri" w:hAnsi="GHEA Grapalat"/>
          <w:bCs/>
          <w:sz w:val="24"/>
          <w:szCs w:val="24"/>
          <w:lang w:val="hy-AM"/>
        </w:rPr>
        <w:t>ռազմական կամ երկակի նշանակության ապրանք արտադրողների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BC1E9D" w:rsidRPr="007D4835">
        <w:rPr>
          <w:rFonts w:ascii="GHEA Grapalat" w:eastAsia="Calibri" w:hAnsi="GHEA Grapalat"/>
          <w:bCs/>
          <w:sz w:val="24"/>
          <w:szCs w:val="24"/>
          <w:lang w:val="hy-AM"/>
        </w:rPr>
        <w:t>կողմից փորձանմուշների արտադրման գործընթացի</w:t>
      </w:r>
      <w:r w:rsidR="006A4FAD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ձևավորման, ֆինանսավորման և</w:t>
      </w:r>
      <w:r w:rsidR="008C3A3B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իրավահարաբերությունների</w:t>
      </w:r>
      <w:r w:rsidR="00BC1E9D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6A4FAD" w:rsidRPr="007D4835">
        <w:rPr>
          <w:rFonts w:ascii="GHEA Grapalat" w:eastAsia="Calibri" w:hAnsi="GHEA Grapalat"/>
          <w:bCs/>
          <w:sz w:val="24"/>
          <w:szCs w:val="24"/>
          <w:lang w:val="hy-AM"/>
        </w:rPr>
        <w:t>կանոնակարգման</w:t>
      </w:r>
      <w:r w:rsidR="008C3A3B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9F741D">
        <w:rPr>
          <w:rFonts w:ascii="GHEA Grapalat" w:eastAsia="Calibri" w:hAnsi="GHEA Grapalat"/>
          <w:bCs/>
          <w:sz w:val="24"/>
          <w:szCs w:val="24"/>
          <w:lang w:val="hy-AM"/>
        </w:rPr>
        <w:t>համար:</w:t>
      </w:r>
    </w:p>
    <w:p w14:paraId="4EECBAEA" w14:textId="1A6E8547" w:rsidR="001561CF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>Հարկ է նկատել, որ ներկայումս ռազմական</w:t>
      </w:r>
      <w:r w:rsidR="008C3A3B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կամ երկակի նշանակության</w:t>
      </w:r>
      <w:r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8C3A3B" w:rsidRPr="007D4835">
        <w:rPr>
          <w:rFonts w:ascii="GHEA Grapalat" w:eastAsia="Calibri" w:hAnsi="GHEA Grapalat"/>
          <w:bCs/>
          <w:sz w:val="24"/>
          <w:szCs w:val="24"/>
          <w:lang w:val="hy-AM"/>
        </w:rPr>
        <w:t>ապրանք արտադրողները իրական խոչընդոտներ ունեն իրենց միջոցներով</w:t>
      </w:r>
      <w:r w:rsidR="00977266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591007">
        <w:rPr>
          <w:rFonts w:ascii="GHEA Grapalat" w:eastAsia="Calibri" w:hAnsi="GHEA Grapalat"/>
          <w:bCs/>
          <w:sz w:val="24"/>
          <w:szCs w:val="24"/>
          <w:lang w:val="hy-AM"/>
        </w:rPr>
        <w:t>ս</w:t>
      </w:r>
      <w:r w:rsidR="008C3A3B" w:rsidRPr="007D4835">
        <w:rPr>
          <w:rFonts w:ascii="GHEA Grapalat" w:eastAsia="Calibri" w:hAnsi="GHEA Grapalat"/>
          <w:bCs/>
          <w:sz w:val="24"/>
          <w:szCs w:val="24"/>
          <w:lang w:val="hy-AM"/>
        </w:rPr>
        <w:t>տեղծված</w:t>
      </w:r>
      <w:r w:rsidR="00977266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սահմանափակ քանակությամբ</w:t>
      </w:r>
      <w:r w:rsidR="008C3A3B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ապրանքը պետական փորձարկման </w:t>
      </w:r>
      <w:r w:rsidR="00976848">
        <w:rPr>
          <w:rFonts w:ascii="GHEA Grapalat" w:eastAsia="Calibri" w:hAnsi="GHEA Grapalat"/>
          <w:bCs/>
          <w:sz w:val="24"/>
          <w:szCs w:val="24"/>
          <w:lang w:val="hy-AM"/>
        </w:rPr>
        <w:t>անցկացման</w:t>
      </w:r>
      <w:r w:rsidR="00977266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գործընթացում, քանի որ </w:t>
      </w:r>
      <w:r w:rsidR="00976848" w:rsidRPr="007D4835">
        <w:rPr>
          <w:rFonts w:ascii="GHEA Grapalat" w:eastAsia="Calibri" w:hAnsi="GHEA Grapalat"/>
          <w:bCs/>
          <w:sz w:val="24"/>
          <w:szCs w:val="24"/>
          <w:lang w:val="hy-AM"/>
        </w:rPr>
        <w:t>ֆինանսական միջոցների ոչ բավարար լինելու պատճառով</w:t>
      </w:r>
      <w:r w:rsidR="00976848">
        <w:rPr>
          <w:rFonts w:ascii="GHEA Grapalat" w:eastAsia="Calibri" w:hAnsi="GHEA Grapalat"/>
          <w:bCs/>
          <w:sz w:val="24"/>
          <w:szCs w:val="24"/>
          <w:lang w:val="hy-AM"/>
        </w:rPr>
        <w:t xml:space="preserve"> հնարավորություն չունեն ապահովելու </w:t>
      </w:r>
      <w:r w:rsidR="00977266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պետական փորձարկման համար </w:t>
      </w:r>
      <w:r w:rsidR="00B203ED" w:rsidRPr="007D4835">
        <w:rPr>
          <w:rFonts w:ascii="GHEA Grapalat" w:eastAsia="Calibri" w:hAnsi="GHEA Grapalat"/>
          <w:bCs/>
          <w:sz w:val="24"/>
          <w:szCs w:val="24"/>
          <w:lang w:val="hy-AM"/>
        </w:rPr>
        <w:t>անհրաժեշտ որոշակի քանակություն</w:t>
      </w:r>
      <w:r w:rsidR="00976848">
        <w:rPr>
          <w:rFonts w:ascii="GHEA Grapalat" w:eastAsia="Calibri" w:hAnsi="GHEA Grapalat"/>
          <w:bCs/>
          <w:sz w:val="24"/>
          <w:szCs w:val="24"/>
          <w:lang w:val="hy-AM"/>
        </w:rPr>
        <w:t>։</w:t>
      </w:r>
    </w:p>
    <w:p w14:paraId="2A54953E" w14:textId="4619227D" w:rsidR="00E45DA4" w:rsidRDefault="00205EF0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>
        <w:rPr>
          <w:rFonts w:ascii="GHEA Grapalat" w:eastAsia="Calibri" w:hAnsi="GHEA Grapalat"/>
          <w:bCs/>
          <w:sz w:val="24"/>
          <w:szCs w:val="24"/>
          <w:lang w:val="hy-AM"/>
        </w:rPr>
        <w:lastRenderedPageBreak/>
        <w:t>Ներկայացվող ն</w:t>
      </w:r>
      <w:r w:rsidR="00906AE1" w:rsidRPr="007D4835">
        <w:rPr>
          <w:rFonts w:ascii="GHEA Grapalat" w:eastAsia="Calibri" w:hAnsi="GHEA Grapalat"/>
          <w:bCs/>
          <w:sz w:val="24"/>
          <w:szCs w:val="24"/>
          <w:lang w:val="hy-AM"/>
        </w:rPr>
        <w:t>ախագծով արտադրողներին հնարավորություն կ</w:t>
      </w:r>
      <w:r w:rsidR="00C5045B">
        <w:rPr>
          <w:rFonts w:ascii="GHEA Grapalat" w:eastAsia="Calibri" w:hAnsi="GHEA Grapalat"/>
          <w:bCs/>
          <w:sz w:val="24"/>
          <w:szCs w:val="24"/>
          <w:lang w:val="hy-AM"/>
        </w:rPr>
        <w:t>ը</w:t>
      </w:r>
      <w:r w:rsidR="00906AE1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նձեռնվի սեփական միջոցներով ստեղծված ապրանքը պետական փորձարկման ներկայացնելու </w:t>
      </w:r>
      <w:r w:rsidR="00632BE6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համար համապատասխան քանակ ապահովելու նպատակով օգտվել դրանք պետական միջոցներով պատրաստելու </w:t>
      </w:r>
      <w:r>
        <w:rPr>
          <w:rFonts w:ascii="GHEA Grapalat" w:eastAsia="Calibri" w:hAnsi="GHEA Grapalat"/>
          <w:bCs/>
          <w:sz w:val="24"/>
          <w:szCs w:val="24"/>
          <w:lang w:val="hy-AM"/>
        </w:rPr>
        <w:t>հնարավորությունից։</w:t>
      </w:r>
      <w:r w:rsidR="00632BE6" w:rsidRPr="007D4835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</w:p>
    <w:p w14:paraId="711711DA" w14:textId="1EAB26B9" w:rsidR="00205EF0" w:rsidRPr="007D4835" w:rsidRDefault="007C5132" w:rsidP="00205EF0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eastAsia="Calibri" w:hAnsi="GHEA Grapalat"/>
          <w:bCs/>
          <w:sz w:val="24"/>
          <w:szCs w:val="24"/>
          <w:lang w:val="hy-AM"/>
        </w:rPr>
        <w:t>Ն</w:t>
      </w:r>
      <w:r w:rsidR="00205EF0" w:rsidRPr="007D4835">
        <w:rPr>
          <w:rFonts w:ascii="GHEA Grapalat" w:eastAsia="Calibri" w:hAnsi="GHEA Grapalat"/>
          <w:bCs/>
          <w:sz w:val="24"/>
          <w:szCs w:val="24"/>
          <w:lang w:val="hy-AM"/>
        </w:rPr>
        <w:t>ախագծով</w:t>
      </w:r>
      <w:r w:rsidR="00205EF0" w:rsidRPr="007D4835">
        <w:rPr>
          <w:rFonts w:ascii="GHEA Grapalat" w:hAnsi="GHEA Grapalat"/>
          <w:bCs/>
          <w:sz w:val="24"/>
          <w:szCs w:val="24"/>
          <w:lang w:val="hy-AM"/>
        </w:rPr>
        <w:t xml:space="preserve"> կսահմանվեն իրավահարաբերությունների ձևավորման, կանոնակարգման հիմքերը, շահագիրիռ </w:t>
      </w:r>
      <w:r w:rsidR="003963B9">
        <w:rPr>
          <w:rFonts w:ascii="GHEA Grapalat" w:hAnsi="GHEA Grapalat"/>
          <w:bCs/>
          <w:sz w:val="24"/>
          <w:szCs w:val="24"/>
          <w:lang w:val="hy-AM"/>
        </w:rPr>
        <w:t>պետական կառավարման համակարգի մարմինների</w:t>
      </w:r>
      <w:bookmarkStart w:id="0" w:name="_GoBack"/>
      <w:bookmarkEnd w:id="0"/>
      <w:r w:rsidR="00205EF0" w:rsidRPr="007D4835">
        <w:rPr>
          <w:rFonts w:ascii="GHEA Grapalat" w:hAnsi="GHEA Grapalat"/>
          <w:bCs/>
          <w:sz w:val="24"/>
          <w:szCs w:val="24"/>
          <w:lang w:val="hy-AM"/>
        </w:rPr>
        <w:t xml:space="preserve"> կողմից պատասխանելու և գործընթացներ իրականացնելու համար հստակ ժամանակահատվածներ։</w:t>
      </w:r>
    </w:p>
    <w:p w14:paraId="42687FFC" w14:textId="77777777" w:rsidR="00E45DA4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7D4835">
        <w:rPr>
          <w:rFonts w:ascii="GHEA Grapalat" w:hAnsi="GHEA Grapalat"/>
          <w:b/>
          <w:bCs/>
          <w:sz w:val="24"/>
          <w:szCs w:val="24"/>
          <w:lang w:val="hy-AM"/>
        </w:rPr>
        <w:t xml:space="preserve">3.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Ակնկալվող արդյունքը</w:t>
      </w:r>
    </w:p>
    <w:p w14:paraId="4568FA98" w14:textId="53BD4F47" w:rsidR="00205EF0" w:rsidRPr="007C5132" w:rsidRDefault="00205EF0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7C5132">
        <w:rPr>
          <w:rFonts w:ascii="GHEA Grapalat" w:eastAsia="Calibri" w:hAnsi="GHEA Grapalat"/>
          <w:sz w:val="24"/>
          <w:szCs w:val="24"/>
          <w:lang w:val="hy-AM"/>
        </w:rPr>
        <w:t>Առա</w:t>
      </w:r>
      <w:r w:rsidR="007C5132" w:rsidRPr="007C5132">
        <w:rPr>
          <w:rFonts w:ascii="GHEA Grapalat" w:eastAsia="Calibri" w:hAnsi="GHEA Grapalat"/>
          <w:sz w:val="24"/>
          <w:szCs w:val="24"/>
          <w:lang w:val="hy-AM"/>
        </w:rPr>
        <w:t>ջարկվող նախագծով իրական հնարավորություն կստեղծվի տեղական ռազմարդյունաբերության զարգացման համար</w:t>
      </w:r>
    </w:p>
    <w:p w14:paraId="08A17E67" w14:textId="77777777" w:rsidR="00E45DA4" w:rsidRPr="007D4835" w:rsidRDefault="00E45DA4" w:rsidP="00E45DA4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>4</w:t>
      </w:r>
      <w:r w:rsidRPr="007D483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367AE4D9" w14:textId="77777777" w:rsidR="00E45DA4" w:rsidRPr="007D4835" w:rsidRDefault="00E45DA4" w:rsidP="00E45DA4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sz w:val="24"/>
          <w:szCs w:val="24"/>
          <w:lang w:val="hy-AM"/>
        </w:rPr>
        <w:t xml:space="preserve">Նախագիծը մշակվել  է Հայաստանի Հանրապետության բարձր տեխնոլոգիական արդյունաբերության նախարարության կողմից: </w:t>
      </w:r>
    </w:p>
    <w:p w14:paraId="23AA31D9" w14:textId="77777777" w:rsidR="00E45DA4" w:rsidRPr="007D4835" w:rsidRDefault="00E45DA4" w:rsidP="00E45DA4">
      <w:pPr>
        <w:tabs>
          <w:tab w:val="left" w:pos="270"/>
        </w:tabs>
        <w:spacing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>5</w:t>
      </w:r>
      <w:r w:rsidRPr="007D483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Պետական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տեղական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ինքնակառավարման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մարմնի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բյուջեում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եկամուտների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և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ծախսերի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էական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ավելացման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7D4835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նվազեցման վերաբերյալ</w:t>
      </w:r>
    </w:p>
    <w:p w14:paraId="53472394" w14:textId="77777777" w:rsidR="00E45DA4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sz w:val="24"/>
          <w:szCs w:val="24"/>
          <w:lang w:val="hy-AM"/>
        </w:rPr>
        <w:t>Ն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ախագծի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ընդունման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կապակցությամբ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պետական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տեղական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ինքնակառավարման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մարմինների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բյուջեներում</w:t>
      </w:r>
      <w:r w:rsidRPr="007D4835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եկամուտների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և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ծախսերի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էական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ավելացում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7D4835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7D4835">
        <w:rPr>
          <w:rFonts w:ascii="GHEA Grapalat" w:eastAsia="Calibri" w:hAnsi="GHEA Grapalat"/>
          <w:sz w:val="24"/>
          <w:szCs w:val="24"/>
          <w:lang w:val="hy-AM"/>
        </w:rPr>
        <w:t>նվազեցում չի նախատեսվում:</w:t>
      </w:r>
    </w:p>
    <w:p w14:paraId="6B2CC51F" w14:textId="77777777" w:rsidR="00E45DA4" w:rsidRPr="007D4835" w:rsidRDefault="00E45DA4" w:rsidP="00E45DA4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7D4835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6. </w:t>
      </w:r>
      <w:r w:rsidRPr="007D4835">
        <w:rPr>
          <w:rFonts w:ascii="GHEA Grapalat" w:eastAsia="Calibri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</w:t>
      </w:r>
      <w:r w:rsidRPr="007D4835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</w:p>
    <w:p w14:paraId="6E762BD3" w14:textId="25C2BEBA" w:rsidR="001B2A28" w:rsidRDefault="001B2A28" w:rsidP="001B2A28">
      <w:pPr>
        <w:spacing w:after="0" w:line="360" w:lineRule="auto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Ն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ախագիծը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բխում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ՀՀ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կառավարության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 2021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թվականի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օգոստոսի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18-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N 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>1363-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Ա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որոշմամբ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ՀՀ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կառավարության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2021-2026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թթ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ծրագրի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, «2.3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Բարձր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տեխնոլոգիաներ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մասի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>, «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Ռազմարդյունաբերություն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բաժնի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դրույթներից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,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այն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է՝</w:t>
      </w:r>
      <w:r w:rsidRPr="004E427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Ռազմարդյունաբերական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համալիրի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զարգացման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նպատակով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Կառավարությունը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նախատեսում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իրականացնել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ռազմավարական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նշանակության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ապրանքների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արտադրության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ներքին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կարողությունների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զարգացում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E4278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4E427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CC25C7">
        <w:rPr>
          <w:rFonts w:ascii="GHEA Grapalat" w:eastAsia="Calibri" w:hAnsi="GHEA Grapalat" w:cs="Arial"/>
          <w:sz w:val="24"/>
          <w:szCs w:val="24"/>
          <w:lang w:val="hy-AM"/>
        </w:rPr>
        <w:t xml:space="preserve">արտադրողականության </w:t>
      </w:r>
      <w:r w:rsidRPr="00CC25C7">
        <w:rPr>
          <w:rFonts w:ascii="GHEA Grapalat" w:eastAsia="Calibri" w:hAnsi="GHEA Grapalat" w:cs="Arial"/>
          <w:sz w:val="24"/>
          <w:szCs w:val="24"/>
          <w:lang w:val="hy-AM"/>
        </w:rPr>
        <w:lastRenderedPageBreak/>
        <w:t>բարձրացում, արտադրական շղթայի ամբողջականության ու արդյունավետության ապահովում:</w:t>
      </w:r>
    </w:p>
    <w:p w14:paraId="6C02CA88" w14:textId="2FAC77B6" w:rsidR="00840389" w:rsidRPr="007D4835" w:rsidRDefault="00840389" w:rsidP="001B2A2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40389" w:rsidRPr="007D4835" w:rsidSect="00B73514">
      <w:pgSz w:w="12240" w:h="15840"/>
      <w:pgMar w:top="630" w:right="630" w:bottom="11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6AE1"/>
    <w:multiLevelType w:val="hybridMultilevel"/>
    <w:tmpl w:val="46F8F620"/>
    <w:lvl w:ilvl="0" w:tplc="95DCA22E">
      <w:start w:val="1"/>
      <w:numFmt w:val="decimal"/>
      <w:lvlText w:val="%1."/>
      <w:lvlJc w:val="left"/>
      <w:pPr>
        <w:ind w:left="87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FF764C6"/>
    <w:multiLevelType w:val="hybridMultilevel"/>
    <w:tmpl w:val="9E2A378C"/>
    <w:lvl w:ilvl="0" w:tplc="68CA95EA">
      <w:start w:val="1"/>
      <w:numFmt w:val="decimal"/>
      <w:lvlText w:val="%1."/>
      <w:lvlJc w:val="left"/>
      <w:pPr>
        <w:ind w:left="1260" w:hanging="360"/>
      </w:pPr>
      <w:rPr>
        <w:rFonts w:cs="Sylfae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5636491"/>
    <w:multiLevelType w:val="hybridMultilevel"/>
    <w:tmpl w:val="74E84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8E25159"/>
    <w:multiLevelType w:val="hybridMultilevel"/>
    <w:tmpl w:val="530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A138C"/>
    <w:multiLevelType w:val="hybridMultilevel"/>
    <w:tmpl w:val="0DAA7D5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DBD096F"/>
    <w:multiLevelType w:val="hybridMultilevel"/>
    <w:tmpl w:val="24344B28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36"/>
    <w:rsid w:val="00082035"/>
    <w:rsid w:val="001230CD"/>
    <w:rsid w:val="001561CF"/>
    <w:rsid w:val="001933C5"/>
    <w:rsid w:val="001B2A28"/>
    <w:rsid w:val="001C5E7C"/>
    <w:rsid w:val="001E1C36"/>
    <w:rsid w:val="00205EF0"/>
    <w:rsid w:val="00267C18"/>
    <w:rsid w:val="002B1C40"/>
    <w:rsid w:val="003277A9"/>
    <w:rsid w:val="0033507C"/>
    <w:rsid w:val="003963B9"/>
    <w:rsid w:val="003D7FDE"/>
    <w:rsid w:val="00433B5B"/>
    <w:rsid w:val="00451621"/>
    <w:rsid w:val="004610D6"/>
    <w:rsid w:val="004A31B7"/>
    <w:rsid w:val="004A4921"/>
    <w:rsid w:val="004D4850"/>
    <w:rsid w:val="004E30D2"/>
    <w:rsid w:val="004E3762"/>
    <w:rsid w:val="00501518"/>
    <w:rsid w:val="00542F0A"/>
    <w:rsid w:val="00571021"/>
    <w:rsid w:val="00591007"/>
    <w:rsid w:val="005C007A"/>
    <w:rsid w:val="00611F18"/>
    <w:rsid w:val="00613001"/>
    <w:rsid w:val="00632BE6"/>
    <w:rsid w:val="00647597"/>
    <w:rsid w:val="00651FF5"/>
    <w:rsid w:val="00657CB0"/>
    <w:rsid w:val="006641FD"/>
    <w:rsid w:val="006902E6"/>
    <w:rsid w:val="006A4FAD"/>
    <w:rsid w:val="006B28A5"/>
    <w:rsid w:val="006C6D45"/>
    <w:rsid w:val="006D180E"/>
    <w:rsid w:val="006F1D8A"/>
    <w:rsid w:val="006F26C1"/>
    <w:rsid w:val="0075510C"/>
    <w:rsid w:val="007B0B13"/>
    <w:rsid w:val="007C5132"/>
    <w:rsid w:val="007D4835"/>
    <w:rsid w:val="007F6CE4"/>
    <w:rsid w:val="00840389"/>
    <w:rsid w:val="0084221F"/>
    <w:rsid w:val="00875907"/>
    <w:rsid w:val="008A089F"/>
    <w:rsid w:val="008C3A3B"/>
    <w:rsid w:val="008D44C0"/>
    <w:rsid w:val="00906AE1"/>
    <w:rsid w:val="00926EDB"/>
    <w:rsid w:val="00962C8C"/>
    <w:rsid w:val="00976848"/>
    <w:rsid w:val="00977266"/>
    <w:rsid w:val="00986ED7"/>
    <w:rsid w:val="00990ECC"/>
    <w:rsid w:val="009B06B5"/>
    <w:rsid w:val="009D1366"/>
    <w:rsid w:val="009F741D"/>
    <w:rsid w:val="00A07F18"/>
    <w:rsid w:val="00A606CC"/>
    <w:rsid w:val="00AC5F7E"/>
    <w:rsid w:val="00AD1088"/>
    <w:rsid w:val="00AF760B"/>
    <w:rsid w:val="00B17B03"/>
    <w:rsid w:val="00B203ED"/>
    <w:rsid w:val="00B6464C"/>
    <w:rsid w:val="00B72394"/>
    <w:rsid w:val="00B73514"/>
    <w:rsid w:val="00BB35BB"/>
    <w:rsid w:val="00BB36A8"/>
    <w:rsid w:val="00BC1E9D"/>
    <w:rsid w:val="00C5045B"/>
    <w:rsid w:val="00C940A1"/>
    <w:rsid w:val="00D770CC"/>
    <w:rsid w:val="00DB6DF3"/>
    <w:rsid w:val="00DC61D8"/>
    <w:rsid w:val="00DC67F6"/>
    <w:rsid w:val="00DC79DC"/>
    <w:rsid w:val="00E45DA4"/>
    <w:rsid w:val="00EB06B8"/>
    <w:rsid w:val="00F05ED3"/>
    <w:rsid w:val="00F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E832"/>
  <w15:chartTrackingRefBased/>
  <w15:docId w15:val="{9D984383-FFD1-4DBD-A40F-4D89F023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uiPriority w:val="34"/>
    <w:qFormat/>
    <w:rsid w:val="001E1C3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40389"/>
    <w:pPr>
      <w:spacing w:after="0" w:line="240" w:lineRule="auto"/>
      <w:ind w:left="720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40389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0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18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5443-2BF2-4C87-A57B-CDA15FA1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Ohanyan</dc:creator>
  <cp:keywords>https:/mul2-mtc.gov.am/tasks/1031576/oneclick/f70bdaf046fb342084b141c2951db811b71129dc3c957ec0e45da51bc0a66620.docx?token=48fbbd1d2dcb42f4c73639cc12acfd1e</cp:keywords>
  <dc:description/>
  <cp:lastModifiedBy>GOHAR MAMYAN</cp:lastModifiedBy>
  <cp:revision>6</cp:revision>
  <cp:lastPrinted>2023-09-06T11:59:00Z</cp:lastPrinted>
  <dcterms:created xsi:type="dcterms:W3CDTF">2024-12-23T12:59:00Z</dcterms:created>
  <dcterms:modified xsi:type="dcterms:W3CDTF">2025-02-28T09:35:00Z</dcterms:modified>
</cp:coreProperties>
</file>