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89" w:rsidRPr="001B08CD" w:rsidRDefault="00BE0389" w:rsidP="001B08CD">
      <w:pPr>
        <w:shd w:val="clear" w:color="auto" w:fill="FFFFFF" w:themeFill="background1"/>
        <w:spacing w:after="0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ՏԵՂԵԿԱՆՔ ՀԻՄՆԱՎՈՐՈՒՄ</w:t>
      </w:r>
    </w:p>
    <w:p w:rsidR="00921ADF" w:rsidRPr="00C125A9" w:rsidRDefault="00F43758" w:rsidP="00921ADF">
      <w:pPr>
        <w:autoSpaceDE w:val="0"/>
        <w:autoSpaceDN w:val="0"/>
        <w:adjustRightInd w:val="0"/>
        <w:spacing w:after="0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1B08C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921ADF">
        <w:rPr>
          <w:rFonts w:ascii="GHEA Grapalat" w:hAnsi="GHEA Grapalat" w:cs="CIDFont+F2"/>
          <w:b/>
          <w:sz w:val="24"/>
          <w:szCs w:val="24"/>
          <w:lang w:val="hy-AM"/>
        </w:rPr>
        <w:t>«</w:t>
      </w:r>
      <w:r w:rsidR="00921ADF" w:rsidRPr="00C125A9">
        <w:rPr>
          <w:rFonts w:ascii="GHEA Grapalat" w:hAnsi="GHEA Grapalat" w:cs="CIDFont+F2"/>
          <w:b/>
          <w:sz w:val="24"/>
          <w:szCs w:val="24"/>
        </w:rPr>
        <w:t>ՎԵՐԱԿԱԶՄԱԿԵՐՊՎԱԾ</w:t>
      </w:r>
      <w:r w:rsidR="00921ADF"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921ADF">
        <w:rPr>
          <w:rFonts w:ascii="GHEA Grapalat" w:hAnsi="GHEA Grapalat" w:cs="CIDFont+F2"/>
          <w:b/>
          <w:sz w:val="24"/>
          <w:szCs w:val="24"/>
          <w:lang w:val="hy-AM"/>
        </w:rPr>
        <w:t xml:space="preserve">ԵՎ </w:t>
      </w:r>
      <w:r w:rsidR="00921ADF" w:rsidRPr="00C125A9">
        <w:rPr>
          <w:rFonts w:ascii="GHEA Grapalat" w:hAnsi="GHEA Grapalat" w:cs="CIDFont+F2"/>
          <w:b/>
          <w:sz w:val="24"/>
          <w:szCs w:val="24"/>
        </w:rPr>
        <w:t>ԳՈՐԾՈՒՆԵՈՒԹՅՈՒՆԸ</w:t>
      </w:r>
      <w:r w:rsidR="00921ADF"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921ADF" w:rsidRPr="00C125A9">
        <w:rPr>
          <w:rFonts w:ascii="GHEA Grapalat" w:hAnsi="GHEA Grapalat" w:cs="CIDFont+F2"/>
          <w:b/>
          <w:sz w:val="24"/>
          <w:szCs w:val="24"/>
        </w:rPr>
        <w:t>ԴԱԴԱՐԵՑՎԱԾ</w:t>
      </w:r>
    </w:p>
    <w:p w:rsidR="00921ADF" w:rsidRPr="00C125A9" w:rsidRDefault="00921ADF" w:rsidP="00921ADF">
      <w:pPr>
        <w:autoSpaceDE w:val="0"/>
        <w:autoSpaceDN w:val="0"/>
        <w:adjustRightInd w:val="0"/>
        <w:spacing w:after="0"/>
        <w:jc w:val="center"/>
        <w:rPr>
          <w:rFonts w:ascii="GHEA Grapalat" w:hAnsi="GHEA Grapalat" w:cs="CIDFont+F2"/>
          <w:b/>
          <w:sz w:val="24"/>
          <w:szCs w:val="24"/>
          <w:lang w:val="hy-AM"/>
        </w:rPr>
      </w:pPr>
      <w:r w:rsidRPr="00C125A9">
        <w:rPr>
          <w:rFonts w:ascii="GHEA Grapalat" w:hAnsi="GHEA Grapalat" w:cs="CIDFont+F2"/>
          <w:b/>
          <w:sz w:val="24"/>
          <w:szCs w:val="24"/>
        </w:rPr>
        <w:t>ԹԱՆԳԱՐԱՆՆԵՐԻ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</w:rPr>
        <w:t>ԹԱՆԳԱՐԱՆԱՅԻՆ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</w:rPr>
        <w:t>ԱՌԱՐԿԱՆԵՐԻ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</w:rPr>
        <w:t>ՀԵՏԱԳԱ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C125A9">
        <w:rPr>
          <w:rFonts w:ascii="GHEA Grapalat" w:hAnsi="GHEA Grapalat" w:cs="CIDFont+F2"/>
          <w:b/>
          <w:sz w:val="24"/>
          <w:szCs w:val="24"/>
        </w:rPr>
        <w:t>ՏՆՕՐԻՆՄԱՆ</w:t>
      </w: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ԵՎ </w:t>
      </w:r>
      <w:r w:rsidRPr="00C125A9">
        <w:rPr>
          <w:rFonts w:ascii="GHEA Grapalat" w:hAnsi="GHEA Grapalat" w:cs="CIDFont+F2"/>
          <w:b/>
          <w:sz w:val="24"/>
          <w:szCs w:val="24"/>
        </w:rPr>
        <w:t>ՊԱՀՊԱՆՈՒԹՅԱՆ</w:t>
      </w:r>
      <w:r>
        <w:rPr>
          <w:rFonts w:ascii="GHEA Grapalat" w:hAnsi="GHEA Grapalat" w:cs="CIDFont+F2"/>
          <w:b/>
          <w:sz w:val="24"/>
          <w:szCs w:val="24"/>
          <w:lang w:val="hy-AM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</w:rPr>
        <w:t>ԿԱՐԳԸ</w:t>
      </w:r>
    </w:p>
    <w:p w:rsidR="00921ADF" w:rsidRPr="00C7067F" w:rsidRDefault="00921ADF" w:rsidP="00921ADF">
      <w:pPr>
        <w:autoSpaceDE w:val="0"/>
        <w:autoSpaceDN w:val="0"/>
        <w:adjustRightInd w:val="0"/>
        <w:spacing w:after="0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C125A9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</w:rPr>
        <w:t>ՀԱՍՏԱՏԵԼՈՒ</w:t>
      </w:r>
      <w:r w:rsidRPr="00C7067F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Pr="007A27D4">
        <w:rPr>
          <w:rFonts w:ascii="GHEA Grapalat" w:hAnsi="GHEA Grapalat" w:cs="CIDFont+F2"/>
          <w:b/>
          <w:sz w:val="24"/>
          <w:szCs w:val="24"/>
        </w:rPr>
        <w:t>ՄԱՍԻՆ</w:t>
      </w:r>
      <w:r>
        <w:rPr>
          <w:rFonts w:ascii="GHEA Grapalat" w:hAnsi="GHEA Grapalat" w:cs="CIDFont+F2"/>
          <w:b/>
          <w:sz w:val="24"/>
          <w:szCs w:val="24"/>
          <w:lang w:val="hy-AM"/>
        </w:rPr>
        <w:t>»</w:t>
      </w:r>
    </w:p>
    <w:p w:rsidR="00BE0389" w:rsidRPr="00977B56" w:rsidRDefault="00476B72" w:rsidP="00921AD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1B08C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E26BBD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977B56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</w:t>
      </w:r>
    </w:p>
    <w:p w:rsidR="00F25E0B" w:rsidRPr="001B08CD" w:rsidRDefault="00F25E0B" w:rsidP="001B08CD">
      <w:pPr>
        <w:shd w:val="clear" w:color="auto" w:fill="FFFFFF"/>
        <w:spacing w:after="0"/>
        <w:ind w:firstLine="567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F25E0B" w:rsidRPr="001B08CD" w:rsidRDefault="005F0FF1" w:rsidP="001B08CD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 w:cs="Times Armenian"/>
          <w:b/>
          <w:lang w:val="hy-AM"/>
        </w:rPr>
      </w:pPr>
      <w:r w:rsidRPr="001B08CD">
        <w:rPr>
          <w:rFonts w:ascii="GHEA Grapalat" w:hAnsi="GHEA Grapalat" w:cs="Sylfaen"/>
          <w:b/>
          <w:lang w:val="hy-AM"/>
        </w:rPr>
        <w:t>Իրավական ակտի ընդունման անհրաժեշտությունը</w:t>
      </w:r>
      <w:r w:rsidRPr="001B08CD">
        <w:rPr>
          <w:rFonts w:ascii="GHEA Grapalat" w:hAnsi="GHEA Grapalat" w:cs="Times Armenian"/>
          <w:b/>
          <w:lang w:val="hy-AM"/>
        </w:rPr>
        <w:t xml:space="preserve"> </w:t>
      </w:r>
    </w:p>
    <w:p w:rsidR="000C53DB" w:rsidRPr="001B08CD" w:rsidRDefault="00921ADF" w:rsidP="00883C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21AD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921ADF">
        <w:rPr>
          <w:rFonts w:ascii="GHEA Grapalat" w:hAnsi="GHEA Grapalat"/>
          <w:color w:val="000000"/>
          <w:sz w:val="24"/>
          <w:szCs w:val="24"/>
          <w:lang w:val="hy-AM"/>
        </w:rPr>
        <w:t xml:space="preserve">Վերակազմակերպված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1ADF">
        <w:rPr>
          <w:rFonts w:ascii="GHEA Grapalat" w:hAnsi="GHEA Grapalat"/>
          <w:color w:val="000000"/>
          <w:sz w:val="24"/>
          <w:szCs w:val="24"/>
          <w:lang w:val="hy-AM"/>
        </w:rPr>
        <w:t xml:space="preserve"> գործունեությունը դադարեցված թանգարանների թանգարանային առարկաների հետագա տնօրինման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1ADF">
        <w:rPr>
          <w:rFonts w:ascii="GHEA Grapalat" w:hAnsi="GHEA Grapalat"/>
          <w:color w:val="000000"/>
          <w:sz w:val="24"/>
          <w:szCs w:val="24"/>
          <w:lang w:val="hy-AM"/>
        </w:rPr>
        <w:t xml:space="preserve"> պահպանության կարգը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21ADF">
        <w:rPr>
          <w:rFonts w:ascii="GHEA Grapalat" w:hAnsi="GHEA Grapalat"/>
          <w:color w:val="000000"/>
          <w:sz w:val="24"/>
          <w:szCs w:val="24"/>
          <w:lang w:val="hy-AM"/>
        </w:rPr>
        <w:t>հաստատելու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87A8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43758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632B2D">
        <w:rPr>
          <w:rFonts w:ascii="GHEA Grapalat" w:hAnsi="GHEA Grapalat"/>
          <w:color w:val="000000"/>
          <w:sz w:val="24"/>
          <w:szCs w:val="24"/>
          <w:lang w:val="hy-AM"/>
        </w:rPr>
        <w:t>կառավարության որոշման</w:t>
      </w:r>
      <w:r w:rsidR="00F43758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ընդունումը</w:t>
      </w:r>
      <w:r w:rsidR="00F43758" w:rsidRPr="001B08CD">
        <w:rPr>
          <w:rFonts w:ascii="GHEA Grapalat" w:hAnsi="GHEA Grapalat" w:cs="Sylfaen"/>
          <w:sz w:val="24"/>
          <w:szCs w:val="24"/>
          <w:lang w:val="hy-AM"/>
        </w:rPr>
        <w:t xml:space="preserve"> բխում</w:t>
      </w:r>
      <w:r w:rsidR="00B8726F" w:rsidRPr="001B08CD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5F376C" w:rsidRPr="007A27D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Հայաստանի Հանրապետության Թանգարանների մասին օրենքի </w:t>
      </w:r>
      <w:r w:rsidR="005F376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14-րդ հոդվածի 5-րդ կետի և </w:t>
      </w:r>
      <w:r w:rsidR="00F43758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վարչապետի «Թանգարանների մասին» 2024 թվականի փետրվարի 28-ի ՀՕ-93-Ն օրենքի կիրարկումն ապահովող միջոցառումների ցանկը հաստատելու մասին» 2024 թվականի մայիսի 21-ի N 467-Ա որոշման հավելվածի </w:t>
      </w:r>
      <w:r w:rsidR="00987A86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632B2D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987A86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="00F43758"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կետի պահանջի կատարման անհրաժեշտությունից: 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F0FF1" w:rsidRPr="001B08CD" w:rsidRDefault="005F0FF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07044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իրավիճակը և խնդիրները </w:t>
      </w:r>
    </w:p>
    <w:p w:rsidR="002F6A39" w:rsidRPr="006A101F" w:rsidRDefault="00FE1497" w:rsidP="002F6A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Theme="minorEastAsia" w:hAnsi="GHEA Grapalat" w:cstheme="minorBidi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պետական և համայնքային թանգարանների թանգարանային հավաքածուները հանդիսանում են պետական սեփականություն, սակայն դրանց հետ կապված իրավունքներն ու պարտավորությունները կարգավորվում են ըստ վերադաս կազմակերպության սահմանած ընթացակարգի: Թանգարանների վերակազմակերպման կամ գործունեության դադարեցման դեպքում թանգարանային առարկաների հետագա տնօրինման իրավական կարգավորման համար մինչ այժմ բացակայում է միասնական ընթացակարգը: </w:t>
      </w:r>
      <w:r w:rsidR="002F6A39" w:rsidRPr="006A7961">
        <w:rPr>
          <w:rFonts w:ascii="GHEA Grapalat" w:hAnsi="GHEA Grapalat"/>
          <w:color w:val="000000"/>
          <w:sz w:val="24"/>
          <w:szCs w:val="24"/>
          <w:lang w:val="hy-AM"/>
        </w:rPr>
        <w:t xml:space="preserve">Ուստի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նման իրավիճակներում </w:t>
      </w:r>
      <w:r w:rsidR="002F6A39" w:rsidRPr="006A7961">
        <w:rPr>
          <w:rFonts w:ascii="GHEA Grapalat" w:hAnsi="GHEA Grapalat"/>
          <w:color w:val="000000"/>
          <w:sz w:val="24"/>
          <w:szCs w:val="24"/>
          <w:lang w:val="hy-AM"/>
        </w:rPr>
        <w:t xml:space="preserve">թանգարանային առարկաների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հետագա տնօրինումը, դրանց պատշաճ պահպանությունն ու անվտանգությունն ապահովելու նպատակով անհրաժեշտ է սահմանել միասնական ընթացակարգ: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F0FF1" w:rsidRPr="001B08CD" w:rsidRDefault="005F0FF1" w:rsidP="001B08CD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Կարգավորման</w:t>
      </w:r>
      <w:r w:rsidRPr="001B08CD"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</w:t>
      </w:r>
    </w:p>
    <w:p w:rsidR="006C214B" w:rsidRPr="001B08CD" w:rsidRDefault="00800936" w:rsidP="001B08CD">
      <w:pPr>
        <w:pStyle w:val="Default"/>
        <w:spacing w:line="276" w:lineRule="auto"/>
        <w:ind w:firstLine="567"/>
        <w:jc w:val="both"/>
        <w:rPr>
          <w:lang w:val="hy-AM"/>
        </w:rPr>
      </w:pPr>
      <w:r w:rsidRPr="00883CE9">
        <w:rPr>
          <w:lang w:val="hy-AM"/>
        </w:rPr>
        <w:t>«</w:t>
      </w:r>
      <w:r w:rsidR="00FE1497" w:rsidRPr="00921ADF">
        <w:rPr>
          <w:rFonts w:cs="Times New Roman"/>
          <w:lang w:val="hy-AM"/>
        </w:rPr>
        <w:t xml:space="preserve">Վերակազմակերպված </w:t>
      </w:r>
      <w:r w:rsidR="00FE1497">
        <w:rPr>
          <w:lang w:val="hy-AM"/>
        </w:rPr>
        <w:t>և</w:t>
      </w:r>
      <w:r w:rsidR="00FE1497" w:rsidRPr="00921ADF">
        <w:rPr>
          <w:rFonts w:cs="Times New Roman"/>
          <w:lang w:val="hy-AM"/>
        </w:rPr>
        <w:t xml:space="preserve"> գործունեությունը դադարեցված թանգարանների թանգարանային առարկաների հետագա տնօրինման </w:t>
      </w:r>
      <w:r w:rsidR="00FE1497">
        <w:rPr>
          <w:lang w:val="hy-AM"/>
        </w:rPr>
        <w:t>և</w:t>
      </w:r>
      <w:r w:rsidR="00FE1497" w:rsidRPr="00921ADF">
        <w:rPr>
          <w:rFonts w:cs="Times New Roman"/>
          <w:lang w:val="hy-AM"/>
        </w:rPr>
        <w:t xml:space="preserve"> պահպանության կարգը</w:t>
      </w:r>
      <w:r w:rsidR="00FE1497">
        <w:rPr>
          <w:lang w:val="hy-AM"/>
        </w:rPr>
        <w:t xml:space="preserve"> </w:t>
      </w:r>
      <w:r w:rsidR="00FE1497" w:rsidRPr="00921ADF">
        <w:rPr>
          <w:rFonts w:cs="Times New Roman"/>
          <w:lang w:val="hy-AM"/>
        </w:rPr>
        <w:t>հաստատելու մասին</w:t>
      </w:r>
      <w:r w:rsidR="00FE1497">
        <w:rPr>
          <w:lang w:val="hy-AM"/>
        </w:rPr>
        <w:t xml:space="preserve">» </w:t>
      </w:r>
      <w:r w:rsidR="00FE1497" w:rsidRPr="001B08CD">
        <w:rPr>
          <w:lang w:val="hy-AM"/>
        </w:rPr>
        <w:t xml:space="preserve">Հայաստանի Հանրապետության </w:t>
      </w:r>
      <w:r w:rsidR="00FE1497">
        <w:rPr>
          <w:lang w:val="hy-AM"/>
        </w:rPr>
        <w:t>կառավարության որոշման</w:t>
      </w:r>
      <w:r w:rsidR="00FE1497" w:rsidRPr="001B08CD">
        <w:rPr>
          <w:lang w:val="hy-AM"/>
        </w:rPr>
        <w:t xml:space="preserve"> </w:t>
      </w:r>
      <w:r w:rsidR="00FD228B" w:rsidRPr="001B08CD">
        <w:rPr>
          <w:lang w:val="hy-AM"/>
        </w:rPr>
        <w:t>ընդուն</w:t>
      </w:r>
      <w:r w:rsidR="001C0DD1">
        <w:rPr>
          <w:lang w:val="hy-AM"/>
        </w:rPr>
        <w:t xml:space="preserve">ման նպատակն </w:t>
      </w:r>
      <w:r w:rsidR="005F0FF1" w:rsidRPr="001B08CD">
        <w:rPr>
          <w:lang w:val="hy-AM"/>
        </w:rPr>
        <w:t xml:space="preserve">է </w:t>
      </w:r>
      <w:r w:rsidR="00FE1497">
        <w:rPr>
          <w:lang w:val="hy-AM"/>
        </w:rPr>
        <w:t>վերակազմակերպման կամ գործունեության դադարեցման դեպքում Հայաստանի Հանրապետության պետական սեփականություն հանդիսացող թանգարանային հավաքածուների հետ կապված իրավահարաբերությունների</w:t>
      </w:r>
      <w:r w:rsidR="00D56469">
        <w:rPr>
          <w:lang w:val="hy-AM"/>
        </w:rPr>
        <w:t xml:space="preserve"> կարգավորումը:</w:t>
      </w:r>
    </w:p>
    <w:p w:rsidR="005F0FF1" w:rsidRPr="001B08CD" w:rsidRDefault="009E70CA" w:rsidP="001B08CD">
      <w:pPr>
        <w:pStyle w:val="Default"/>
        <w:spacing w:line="276" w:lineRule="auto"/>
        <w:ind w:firstLine="567"/>
        <w:jc w:val="both"/>
        <w:rPr>
          <w:b/>
          <w:lang w:val="hy-AM"/>
        </w:rPr>
      </w:pPr>
      <w:r w:rsidRPr="001B08CD">
        <w:rPr>
          <w:lang w:val="hy-AM"/>
        </w:rPr>
        <w:t xml:space="preserve"> </w:t>
      </w:r>
    </w:p>
    <w:p w:rsidR="00F25E0B" w:rsidRPr="001B08CD" w:rsidRDefault="000A7904" w:rsidP="001B08CD">
      <w:pPr>
        <w:shd w:val="clear" w:color="auto" w:fill="FFFFFF"/>
        <w:spacing w:after="0"/>
        <w:ind w:firstLine="567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  </w:t>
      </w:r>
      <w:r w:rsidR="005F0FF1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4</w:t>
      </w:r>
      <w:r w:rsidRPr="001B08CD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Նախագծի մշակման գործընթացում ներգրավված ինստիտուտները և </w:t>
      </w:r>
      <w:bookmarkStart w:id="0" w:name="_GoBack"/>
      <w:bookmarkEnd w:id="0"/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ան</w:t>
      </w:r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softHyphen/>
        <w:t xml:space="preserve">ձինք. </w:t>
      </w:r>
    </w:p>
    <w:p w:rsidR="00AE5CA8" w:rsidRPr="001B08CD" w:rsidRDefault="00AE5CA8" w:rsidP="001B08CD">
      <w:pPr>
        <w:shd w:val="clear" w:color="auto" w:fill="FFFFFF" w:themeFill="background1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 xml:space="preserve">Իրավական ակտի նախագիծը մշակել </w:t>
      </w:r>
      <w:r w:rsidR="00B138D9" w:rsidRPr="001B08CD">
        <w:rPr>
          <w:rFonts w:ascii="GHEA Grapalat" w:hAnsi="GHEA Grapalat"/>
          <w:sz w:val="24"/>
          <w:szCs w:val="24"/>
          <w:lang w:val="hy-AM"/>
        </w:rPr>
        <w:t>են</w:t>
      </w:r>
      <w:r w:rsidRPr="001B08CD">
        <w:rPr>
          <w:rFonts w:ascii="GHEA Grapalat" w:hAnsi="GHEA Grapalat"/>
          <w:sz w:val="24"/>
          <w:szCs w:val="24"/>
          <w:lang w:val="hy-AM"/>
        </w:rPr>
        <w:t xml:space="preserve"> Հայաստանի Հանրա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պե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տության կրթության, գիտության, մշակույթի և սպորտի նախարարության մասնագետներ</w:t>
      </w:r>
      <w:r w:rsidR="00B138D9" w:rsidRPr="001B08CD">
        <w:rPr>
          <w:rFonts w:ascii="GHEA Grapalat" w:hAnsi="GHEA Grapalat"/>
          <w:sz w:val="24"/>
          <w:szCs w:val="24"/>
          <w:lang w:val="hy-AM"/>
        </w:rPr>
        <w:t>ը:</w:t>
      </w:r>
      <w:r w:rsidR="00D55E1E" w:rsidRPr="001B08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55E" w:rsidRPr="001B08CD" w:rsidRDefault="0064755E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Իրավական ակտի կիրարկման դեպքում ակնկալվող արդյունքը</w:t>
      </w:r>
    </w:p>
    <w:p w:rsidR="00FD62D8" w:rsidRPr="001B08CD" w:rsidRDefault="000B64FE" w:rsidP="00FD62D8">
      <w:pPr>
        <w:pStyle w:val="Default"/>
        <w:spacing w:line="276" w:lineRule="auto"/>
        <w:ind w:firstLine="567"/>
        <w:jc w:val="both"/>
        <w:rPr>
          <w:lang w:val="hy-AM"/>
        </w:rPr>
      </w:pPr>
      <w:r w:rsidRPr="001B08CD">
        <w:rPr>
          <w:lang w:val="hy-AM"/>
        </w:rPr>
        <w:t>Կ</w:t>
      </w:r>
      <w:r w:rsidR="001869D0">
        <w:rPr>
          <w:lang w:val="hy-AM"/>
        </w:rPr>
        <w:t xml:space="preserve">ապահովվի </w:t>
      </w:r>
      <w:r w:rsidR="00FD62D8">
        <w:rPr>
          <w:lang w:val="hy-AM"/>
        </w:rPr>
        <w:t>վերակազմակերպման կամ գործունեության դադարեցման դեպքում Հայաստանի Հանրապետության պետական սեփականություն հանդիսացող թանգարանային հավաքածուների հետ կապված իրավահարաբերությունների կարգավորումը:</w:t>
      </w:r>
    </w:p>
    <w:p w:rsidR="00E50CE1" w:rsidRDefault="00E50CE1" w:rsidP="00FD62D8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lang w:val="hy-AM" w:eastAsia="ru-RU"/>
        </w:rPr>
      </w:pP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>6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</w:t>
      </w:r>
    </w:p>
    <w:p w:rsidR="0023127C" w:rsidRPr="001B08CD" w:rsidRDefault="0023127C" w:rsidP="001B08C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08C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Հայաստանի Հանրապետության պետական կամ տեղական ինքնակառավարման մարմնի բյուջեում եկամուտների </w:t>
      </w:r>
      <w:r w:rsidR="00E81D0B">
        <w:rPr>
          <w:rFonts w:ascii="GHEA Grapalat" w:hAnsi="GHEA Grapalat" w:cs="Sylfaen"/>
          <w:sz w:val="24"/>
          <w:szCs w:val="24"/>
          <w:lang w:val="hy-AM"/>
        </w:rPr>
        <w:t xml:space="preserve">և ծախսերի </w:t>
      </w:r>
      <w:r w:rsidRPr="001B08CD">
        <w:rPr>
          <w:rFonts w:ascii="GHEA Grapalat" w:hAnsi="GHEA Grapalat" w:cs="Sylfaen"/>
          <w:sz w:val="24"/>
          <w:szCs w:val="24"/>
          <w:lang w:val="hy-AM"/>
        </w:rPr>
        <w:t>ավելացում կամ նվազեցում չի առաջանում:</w:t>
      </w:r>
    </w:p>
    <w:p w:rsidR="00E50CE1" w:rsidRDefault="00E50CE1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>7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այլ նորմատիվ իրավական ակտերի ընդունման անհրաժեշտություն</w:t>
      </w:r>
    </w:p>
    <w:p w:rsidR="009D64D6" w:rsidRPr="001B08CD" w:rsidRDefault="009D64D6" w:rsidP="001B08CD">
      <w:pPr>
        <w:tabs>
          <w:tab w:val="center" w:pos="-6480"/>
          <w:tab w:val="right" w:pos="864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shd w:val="clear" w:color="auto" w:fill="FEFEFE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1. Այլ իրավական ակտերում փոփոխությունների և/կամ լրացումների անհրաժեշտությունը.</w:t>
      </w:r>
    </w:p>
    <w:p w:rsidR="009D64D6" w:rsidRPr="001B08CD" w:rsidRDefault="009D64D6" w:rsidP="001B08CD">
      <w:pPr>
        <w:pStyle w:val="ListParagraph"/>
        <w:tabs>
          <w:tab w:val="center" w:pos="-6480"/>
          <w:tab w:val="right" w:pos="8640"/>
        </w:tabs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1B08CD">
        <w:rPr>
          <w:rFonts w:ascii="GHEA Grapalat" w:hAnsi="GHEA Grapalat"/>
          <w:u w:val="single"/>
          <w:lang w:val="hy-AM"/>
        </w:rPr>
        <w:t>Չի առաջացնում</w:t>
      </w:r>
      <w:r w:rsidRPr="001B08CD">
        <w:rPr>
          <w:rFonts w:ascii="GHEA Grapalat" w:hAnsi="GHEA Grapalat" w:cs="Times Armenian"/>
          <w:u w:val="single"/>
          <w:lang w:val="hy-AM"/>
        </w:rPr>
        <w:t>:</w:t>
      </w:r>
    </w:p>
    <w:p w:rsidR="009D64D6" w:rsidRPr="001B08CD" w:rsidRDefault="009D64D6" w:rsidP="001B08C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2. Միջազգային պայմանագրերով ստանձնած պարտավորությունների հետ համա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տասխանությունը.</w:t>
      </w:r>
    </w:p>
    <w:p w:rsidR="009D64D6" w:rsidRPr="001B08CD" w:rsidRDefault="009D64D6" w:rsidP="001B08CD">
      <w:pPr>
        <w:pStyle w:val="ListParagraph"/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1B08CD">
        <w:rPr>
          <w:rFonts w:ascii="GHEA Grapalat" w:hAnsi="GHEA Grapalat"/>
          <w:u w:val="single"/>
          <w:lang w:val="hy-AM"/>
        </w:rPr>
        <w:t>Համապատասխանում է</w:t>
      </w:r>
      <w:r w:rsidRPr="001B08CD">
        <w:rPr>
          <w:rFonts w:ascii="GHEA Grapalat" w:hAnsi="GHEA Grapalat" w:cs="Times Armenian"/>
          <w:u w:val="single"/>
          <w:lang w:val="hy-AM"/>
        </w:rPr>
        <w:t>:</w:t>
      </w:r>
    </w:p>
    <w:p w:rsidR="00E50CE1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 xml:space="preserve">    </w:t>
      </w: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1B08CD">
        <w:rPr>
          <w:rFonts w:ascii="GHEA Grapalat" w:hAnsi="GHEA Grapalat" w:cs="Sylfaen"/>
          <w:b/>
          <w:lang w:val="hy-AM" w:eastAsia="ru-RU"/>
        </w:rPr>
        <w:t>8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«Կապը ռազմավարական փաստաթղթերի հետ. Հայաստանի վերափոխման</w:t>
      </w:r>
      <w:r w:rsidRPr="001B08CD">
        <w:rPr>
          <w:rFonts w:ascii="GHEA Grapalat" w:hAnsi="GHEA Grapalat"/>
          <w:b/>
          <w:lang w:val="hy-AM"/>
        </w:rPr>
        <w:t xml:space="preserve"> ռազմավարություն 2050, Կառավարության 2021-2026թթ. ծրագիր, ոլորտային և/կամ այլ ռազմավարություններ».</w:t>
      </w: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1B08CD">
        <w:rPr>
          <w:rFonts w:ascii="GHEA Grapalat" w:eastAsiaTheme="minorEastAsia" w:hAnsi="GHEA Grapalat" w:cstheme="minorBidi"/>
          <w:lang w:val="hy-AM" w:eastAsia="ru-RU"/>
        </w:rPr>
        <w:t>Որոշման նախագիծը մշակվել է հիմք ընդունելով ՀՀ կառավարության 2021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Pr="001B08CD">
        <w:rPr>
          <w:rFonts w:ascii="GHEA Grapalat" w:eastAsiaTheme="minorEastAsia" w:hAnsi="GHEA Grapalat" w:cstheme="minorBidi"/>
          <w:lang w:val="hy-AM" w:eastAsia="ru-RU"/>
        </w:rPr>
        <w:t xml:space="preserve">թ. օգոստոսի 18-ի N 1363-Ա որոշմամբ հաստատված ՀՀ կառավարության 2021-2026 թվականների ծրագրի 4-րդ գլխի 4.9 բաժնում ամրագրված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մշակութային ժառանգության ոլորտում պետական քաղաքականության հիմնական ուղղությունները, մասնավորապես «</w:t>
      </w:r>
      <w:r w:rsidR="001869D0">
        <w:rPr>
          <w:rFonts w:ascii="GHEA Grapalat" w:eastAsiaTheme="minorEastAsia" w:hAnsi="GHEA Grapalat" w:cstheme="minorBidi"/>
          <w:lang w:val="hy-AM" w:eastAsia="ru-RU"/>
        </w:rPr>
        <w:t>հայկական պատմամշակութային ժառանգության (նյութական և ոչ նյութական) պահպանության, ուսումնասիրման, օգտագործման և հանրայնացման շարունակականության ապահովում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»</w:t>
      </w:r>
      <w:r w:rsidR="001869D0">
        <w:rPr>
          <w:rFonts w:ascii="GHEA Grapalat" w:eastAsiaTheme="minorEastAsia" w:hAnsi="GHEA Grapalat" w:cstheme="minorBidi"/>
          <w:lang w:val="hy-AM" w:eastAsia="ru-RU"/>
        </w:rPr>
        <w:t>, «իրավական դաշտի կատարելագործում», «թանգարանների և գրադարանների՝ որպես սոցիալ-կրթական ինստիտուտների կայացում, հասարակության բոլոր շերտերի և խմբերի համար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1869D0">
        <w:rPr>
          <w:rFonts w:ascii="GHEA Grapalat" w:eastAsiaTheme="minorEastAsia" w:hAnsi="GHEA Grapalat" w:cstheme="minorBidi"/>
          <w:lang w:val="hy-AM" w:eastAsia="ru-RU"/>
        </w:rPr>
        <w:t xml:space="preserve">ոչ ֆորմալ կրթության և ժամանցի միջավայրի ապահովում»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կետ</w:t>
      </w:r>
      <w:r w:rsidR="001869D0">
        <w:rPr>
          <w:rFonts w:ascii="GHEA Grapalat" w:eastAsiaTheme="minorEastAsia" w:hAnsi="GHEA Grapalat" w:cstheme="minorBidi"/>
          <w:lang w:val="hy-AM" w:eastAsia="ru-RU"/>
        </w:rPr>
        <w:t>եր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ը</w:t>
      </w:r>
      <w:r w:rsidRPr="001B08CD">
        <w:rPr>
          <w:rFonts w:ascii="GHEA Grapalat" w:eastAsiaTheme="minorEastAsia" w:hAnsi="GHEA Grapalat" w:cstheme="minorBidi"/>
          <w:lang w:val="hy-AM" w:eastAsia="ru-RU"/>
        </w:rPr>
        <w:t>: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64D6" w:rsidRPr="001B08CD" w:rsidRDefault="009D64D6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Այլ տեղեկություններ.</w:t>
      </w:r>
    </w:p>
    <w:p w:rsidR="009E54EC" w:rsidRPr="001B08CD" w:rsidRDefault="009D64D6" w:rsidP="001B08CD">
      <w:pPr>
        <w:pStyle w:val="ListParagraph"/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1B08CD">
        <w:rPr>
          <w:rFonts w:ascii="GHEA Grapalat" w:hAnsi="GHEA Grapalat" w:cs="Sylfaen"/>
          <w:lang w:val="hy-AM"/>
        </w:rPr>
        <w:t>Չկան:</w:t>
      </w:r>
    </w:p>
    <w:sectPr w:rsidR="009E54EC" w:rsidRPr="001B08CD" w:rsidSect="00FD62D8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A10D5"/>
    <w:multiLevelType w:val="hybridMultilevel"/>
    <w:tmpl w:val="DEFE5AD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D593DA7"/>
    <w:multiLevelType w:val="hybridMultilevel"/>
    <w:tmpl w:val="2656082A"/>
    <w:lvl w:ilvl="0" w:tplc="A9D03A3E">
      <w:start w:val="1"/>
      <w:numFmt w:val="decimal"/>
      <w:lvlText w:val="%1."/>
      <w:lvlJc w:val="left"/>
      <w:pPr>
        <w:ind w:left="108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AF57F7"/>
    <w:multiLevelType w:val="hybridMultilevel"/>
    <w:tmpl w:val="F6269DDE"/>
    <w:lvl w:ilvl="0" w:tplc="86363D1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0B"/>
    <w:rsid w:val="00003D80"/>
    <w:rsid w:val="00025C87"/>
    <w:rsid w:val="00033970"/>
    <w:rsid w:val="000A7904"/>
    <w:rsid w:val="000B64FE"/>
    <w:rsid w:val="000B69EF"/>
    <w:rsid w:val="000C53DB"/>
    <w:rsid w:val="00120C37"/>
    <w:rsid w:val="00171BEC"/>
    <w:rsid w:val="001869D0"/>
    <w:rsid w:val="001B08CD"/>
    <w:rsid w:val="001C0DD1"/>
    <w:rsid w:val="0023127C"/>
    <w:rsid w:val="00251041"/>
    <w:rsid w:val="002F6A39"/>
    <w:rsid w:val="0031184B"/>
    <w:rsid w:val="003D346A"/>
    <w:rsid w:val="003F35D6"/>
    <w:rsid w:val="004706FC"/>
    <w:rsid w:val="00476B72"/>
    <w:rsid w:val="00487D58"/>
    <w:rsid w:val="004B1F6B"/>
    <w:rsid w:val="00552363"/>
    <w:rsid w:val="00564D74"/>
    <w:rsid w:val="005A728B"/>
    <w:rsid w:val="005F034F"/>
    <w:rsid w:val="005F0FF1"/>
    <w:rsid w:val="005F376C"/>
    <w:rsid w:val="00607044"/>
    <w:rsid w:val="00631A21"/>
    <w:rsid w:val="00632B2D"/>
    <w:rsid w:val="0064755E"/>
    <w:rsid w:val="00665D3F"/>
    <w:rsid w:val="00667B3E"/>
    <w:rsid w:val="006C1642"/>
    <w:rsid w:val="006C214B"/>
    <w:rsid w:val="007060A2"/>
    <w:rsid w:val="0071036F"/>
    <w:rsid w:val="00727287"/>
    <w:rsid w:val="00757189"/>
    <w:rsid w:val="00773895"/>
    <w:rsid w:val="00800936"/>
    <w:rsid w:val="0081304C"/>
    <w:rsid w:val="00813E36"/>
    <w:rsid w:val="0082782B"/>
    <w:rsid w:val="008567D0"/>
    <w:rsid w:val="00883CE9"/>
    <w:rsid w:val="008F5BC2"/>
    <w:rsid w:val="00916F46"/>
    <w:rsid w:val="00921ADF"/>
    <w:rsid w:val="00977B56"/>
    <w:rsid w:val="00987A86"/>
    <w:rsid w:val="009D014B"/>
    <w:rsid w:val="009D64D6"/>
    <w:rsid w:val="009E54EC"/>
    <w:rsid w:val="009E70CA"/>
    <w:rsid w:val="00A2157B"/>
    <w:rsid w:val="00A25803"/>
    <w:rsid w:val="00A927E2"/>
    <w:rsid w:val="00A92D5F"/>
    <w:rsid w:val="00AE5CA8"/>
    <w:rsid w:val="00AE656E"/>
    <w:rsid w:val="00B138D9"/>
    <w:rsid w:val="00B62959"/>
    <w:rsid w:val="00B7796A"/>
    <w:rsid w:val="00B8726F"/>
    <w:rsid w:val="00BD55A7"/>
    <w:rsid w:val="00BE0389"/>
    <w:rsid w:val="00C60AD4"/>
    <w:rsid w:val="00CB3FCD"/>
    <w:rsid w:val="00CE5A44"/>
    <w:rsid w:val="00D06202"/>
    <w:rsid w:val="00D17A6D"/>
    <w:rsid w:val="00D40227"/>
    <w:rsid w:val="00D55E1E"/>
    <w:rsid w:val="00D56469"/>
    <w:rsid w:val="00DA7974"/>
    <w:rsid w:val="00DB4349"/>
    <w:rsid w:val="00DC7384"/>
    <w:rsid w:val="00DD2E5A"/>
    <w:rsid w:val="00E02ED5"/>
    <w:rsid w:val="00E15A7E"/>
    <w:rsid w:val="00E26BBD"/>
    <w:rsid w:val="00E50CE1"/>
    <w:rsid w:val="00E675BA"/>
    <w:rsid w:val="00E81D0B"/>
    <w:rsid w:val="00EE5280"/>
    <w:rsid w:val="00F16B81"/>
    <w:rsid w:val="00F25E0B"/>
    <w:rsid w:val="00F432F7"/>
    <w:rsid w:val="00F43758"/>
    <w:rsid w:val="00F47B9A"/>
    <w:rsid w:val="00F661AC"/>
    <w:rsid w:val="00F77402"/>
    <w:rsid w:val="00F9598A"/>
    <w:rsid w:val="00FD228B"/>
    <w:rsid w:val="00FD62D8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3D303-6BB2-4318-B3E1-912A7C6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E0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uiPriority w:val="99"/>
    <w:qFormat/>
    <w:rsid w:val="00F25E0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/>
      <w:sz w:val="24"/>
      <w:szCs w:val="24"/>
    </w:rPr>
  </w:style>
  <w:style w:type="character" w:customStyle="1" w:styleId="FontStyle27">
    <w:name w:val="Font Style27"/>
    <w:uiPriority w:val="99"/>
    <w:rsid w:val="00F25E0B"/>
    <w:rPr>
      <w:rFonts w:ascii="Tahoma" w:hAnsi="Tahoma" w:cs="Tahoma" w:hint="default"/>
      <w:b/>
      <w:bCs/>
      <w:sz w:val="22"/>
      <w:szCs w:val="22"/>
    </w:rPr>
  </w:style>
  <w:style w:type="character" w:customStyle="1" w:styleId="FontStyle24">
    <w:name w:val="Font Style24"/>
    <w:uiPriority w:val="99"/>
    <w:rsid w:val="00F25E0B"/>
    <w:rPr>
      <w:rFonts w:ascii="Tahoma" w:hAnsi="Tahoma" w:cs="Tahoma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20C37"/>
    <w:pPr>
      <w:spacing w:after="12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120C37"/>
    <w:rPr>
      <w:rFonts w:eastAsiaTheme="minorEastAsia"/>
      <w:lang w:eastAsia="ru-RU"/>
    </w:rPr>
  </w:style>
  <w:style w:type="character" w:customStyle="1" w:styleId="mechtexChar">
    <w:name w:val="mechtex Char"/>
    <w:link w:val="mechtex"/>
    <w:locked/>
    <w:rsid w:val="005F0FF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F0FF1"/>
    <w:pPr>
      <w:spacing w:after="0" w:line="240" w:lineRule="auto"/>
      <w:jc w:val="center"/>
    </w:pPr>
    <w:rPr>
      <w:rFonts w:ascii="Arial Armenian" w:eastAsiaTheme="minorHAnsi" w:hAnsi="Arial Armenian" w:cstheme="minorBidi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5F0FF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5F0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qFormat/>
    <w:rsid w:val="009D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D6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70CA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2023-08-10T10:41:00Z</cp:lastPrinted>
  <dcterms:created xsi:type="dcterms:W3CDTF">2024-11-12T12:19:00Z</dcterms:created>
  <dcterms:modified xsi:type="dcterms:W3CDTF">2024-11-12T13:31:00Z</dcterms:modified>
</cp:coreProperties>
</file>