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C732" w14:textId="77777777" w:rsidR="00BF46EC" w:rsidRPr="00AC7800" w:rsidRDefault="00BF46EC" w:rsidP="009B1004">
      <w:pPr>
        <w:spacing w:after="0" w:line="360" w:lineRule="auto"/>
        <w:ind w:left="-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C78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14:paraId="2F3CBA15" w14:textId="23E4142F" w:rsidR="00BF46EC" w:rsidRDefault="00816987" w:rsidP="0017170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ՏԿԵ ՆԱԽԱՐԱՐԻ </w:t>
      </w:r>
      <w:r w:rsidR="00BF46EC" w:rsidRPr="00AC7800">
        <w:rPr>
          <w:rFonts w:ascii="GHEA Grapalat" w:eastAsia="GHEA Grapalat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«</w:t>
      </w:r>
      <w:r w:rsidR="005044B6" w:rsidRPr="0088072E">
        <w:rPr>
          <w:rFonts w:ascii="GHEA Grapalat" w:hAnsi="GHEA Grapalat" w:cs="Sylfaen"/>
          <w:b/>
          <w:lang w:val="hy-AM"/>
        </w:rPr>
        <w:t xml:space="preserve">ՕԳՏԱԿԱՐ ՀԱՆԱԾՈՆԵՐԻ (ՀԱՆՔԱՅԻՆ ՌԵՍՈՒՐՍՆԵՐԻ)՝ ՊԵՏԱԿԱՆ ԿԱԴԱՍՏՐԻ (ՕՀՊԿ) </w:t>
      </w:r>
      <w:r w:rsidR="005044B6">
        <w:rPr>
          <w:rFonts w:ascii="GHEA Grapalat" w:hAnsi="GHEA Grapalat" w:cs="Sylfaen"/>
          <w:b/>
          <w:lang w:val="hy-AM"/>
        </w:rPr>
        <w:t>ԵՎ</w:t>
      </w:r>
      <w:r w:rsidR="005044B6" w:rsidRPr="0088072E">
        <w:rPr>
          <w:rFonts w:ascii="GHEA Grapalat" w:hAnsi="GHEA Grapalat" w:cs="Sylfaen"/>
          <w:b/>
          <w:lang w:val="hy-AM"/>
        </w:rPr>
        <w:t xml:space="preserve"> ՕԳՏԱԿԱՐ ՀԱՆԱԾՈՆԵՐԻ ՊԱՇԱՐՆԵՐԻ ՊԵՏԱԿԱՆ ՀԱՇՎԵԿՇՌԻ (ՕՀՊՊՀ) ՎԱՐՄԱՆ ԱՎՏՈՄԱՏ ԿԱՌԱՎԱՐՄԱՆ ՏԵՂԵԿԱՏՎԱԿԱՆ ՀԱՄԱԿԱՐԳԵՐԻ (ԱՅՍՈՒՀԵՏ ՆԱ</w:t>
      </w:r>
      <w:r w:rsidR="005044B6">
        <w:rPr>
          <w:rFonts w:ascii="GHEA Grapalat" w:hAnsi="GHEA Grapalat" w:cs="Sylfaen"/>
          <w:b/>
          <w:lang w:val="hy-AM"/>
        </w:rPr>
        <w:t>ԵՎ</w:t>
      </w:r>
      <w:r w:rsidR="005044B6" w:rsidRPr="0088072E">
        <w:rPr>
          <w:rFonts w:ascii="GHEA Grapalat" w:hAnsi="GHEA Grapalat" w:cs="Sylfaen"/>
          <w:b/>
          <w:lang w:val="hy-AM"/>
        </w:rPr>
        <w:t xml:space="preserve">՝ ԱԿՏՀ) ՍՏԵՂԾՄԱՆ, ՎԱՐՄԱՆ </w:t>
      </w:r>
      <w:r w:rsidR="005044B6">
        <w:rPr>
          <w:rFonts w:ascii="GHEA Grapalat" w:hAnsi="GHEA Grapalat" w:cs="Sylfaen"/>
          <w:b/>
          <w:lang w:val="hy-AM"/>
        </w:rPr>
        <w:t>ԵՎ</w:t>
      </w:r>
      <w:r w:rsidR="005044B6" w:rsidRPr="0088072E">
        <w:rPr>
          <w:rFonts w:ascii="GHEA Grapalat" w:hAnsi="GHEA Grapalat" w:cs="Sylfaen"/>
          <w:b/>
          <w:lang w:val="hy-AM"/>
        </w:rPr>
        <w:t xml:space="preserve"> ՊԱՀՊԱՆՄԱՆ ՆԵՐԴՐՄԱՆ ՃԱՆԱՊԱՐՀԱՅԻՆ ՔԱՐՏԵԶ</w:t>
      </w:r>
      <w:r w:rsidR="005044B6">
        <w:rPr>
          <w:rFonts w:ascii="GHEA Grapalat" w:hAnsi="GHEA Grapalat" w:cs="Sylfaen"/>
          <w:b/>
          <w:lang w:val="hy-AM"/>
        </w:rPr>
        <w:t>Ը ՀԱՍՏԱՏԵԼՈՒ</w:t>
      </w:r>
      <w:r w:rsidR="005044B6" w:rsidRPr="0088072E">
        <w:rPr>
          <w:rFonts w:ascii="GHEA Grapalat" w:hAnsi="GHEA Grapalat" w:cs="Sylfaen"/>
          <w:b/>
          <w:lang w:val="hy-AM"/>
        </w:rPr>
        <w:t xml:space="preserve"> </w:t>
      </w:r>
      <w:r w:rsidR="005044B6" w:rsidRPr="003F129C">
        <w:rPr>
          <w:rFonts w:ascii="GHEA Grapalat" w:hAnsi="GHEA Grapalat" w:cs="Sylfaen"/>
          <w:b/>
          <w:lang w:val="hy-AM"/>
        </w:rPr>
        <w:t>ՄԱՍԻՆ</w:t>
      </w:r>
      <w:r w:rsidR="00281EAA" w:rsidRPr="00AC780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5044B6">
        <w:rPr>
          <w:rFonts w:ascii="GHEA Grapalat" w:hAnsi="GHEA Grapalat"/>
          <w:b/>
          <w:sz w:val="24"/>
          <w:szCs w:val="24"/>
          <w:lang w:val="hy-AM"/>
        </w:rPr>
        <w:t>ՀՐԱՄԱՆԻ</w:t>
      </w:r>
      <w:r w:rsidR="00FB769B" w:rsidRPr="00AC7800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</w:t>
      </w:r>
    </w:p>
    <w:p w14:paraId="43380C81" w14:textId="77777777" w:rsidR="00AC7800" w:rsidRPr="00E626F8" w:rsidRDefault="00AC7800" w:rsidP="00E626F8">
      <w:pPr>
        <w:spacing w:after="0" w:line="276" w:lineRule="auto"/>
        <w:ind w:firstLine="720"/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</w:p>
    <w:p w14:paraId="03C087C1" w14:textId="1A2B2D68" w:rsidR="008D12C4" w:rsidRPr="00E626F8" w:rsidRDefault="003060A3" w:rsidP="00E626F8">
      <w:pPr>
        <w:pStyle w:val="a3"/>
        <w:tabs>
          <w:tab w:val="left" w:pos="709"/>
          <w:tab w:val="left" w:pos="851"/>
        </w:tabs>
        <w:spacing w:after="0" w:line="276" w:lineRule="auto"/>
        <w:ind w:left="0" w:right="0" w:firstLine="720"/>
        <w:rPr>
          <w:rFonts w:ascii="GHEA Grapalat" w:hAnsi="GHEA Grapalat" w:cstheme="minorBidi"/>
          <w:sz w:val="24"/>
          <w:szCs w:val="24"/>
          <w:lang w:val="hy-AM"/>
        </w:rPr>
      </w:pPr>
      <w:r w:rsidRPr="00E626F8">
        <w:rPr>
          <w:rFonts w:ascii="GHEA Grapalat" w:hAnsi="GHEA Grapalat"/>
          <w:b/>
          <w:i/>
          <w:sz w:val="24"/>
          <w:szCs w:val="24"/>
          <w:lang w:val="af-ZA"/>
        </w:rPr>
        <w:t>1</w:t>
      </w:r>
      <w:r w:rsidRPr="00E626F8">
        <w:rPr>
          <w:rFonts w:ascii="Cambria Math" w:hAnsi="Cambria Math" w:cs="Cambria Math"/>
          <w:b/>
          <w:i/>
          <w:sz w:val="24"/>
          <w:szCs w:val="24"/>
          <w:lang w:val="af-ZA"/>
        </w:rPr>
        <w:t>․</w:t>
      </w:r>
      <w:r w:rsidRPr="00E626F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BF46EC" w:rsidRPr="00E626F8">
        <w:rPr>
          <w:rFonts w:ascii="GHEA Grapalat" w:hAnsi="GHEA Grapalat"/>
          <w:b/>
          <w:i/>
          <w:sz w:val="24"/>
          <w:szCs w:val="24"/>
          <w:lang w:val="af-ZA"/>
        </w:rPr>
        <w:t>Անհրաժեշտությունը</w:t>
      </w:r>
      <w:r w:rsidR="00BF46EC" w:rsidRPr="00E626F8">
        <w:rPr>
          <w:rFonts w:ascii="GHEA Grapalat" w:hAnsi="GHEA Grapalat"/>
          <w:sz w:val="24"/>
          <w:szCs w:val="24"/>
          <w:lang w:val="af-ZA"/>
        </w:rPr>
        <w:t xml:space="preserve"> –</w:t>
      </w:r>
      <w:r w:rsidR="00FB769B" w:rsidRPr="00E626F8">
        <w:rPr>
          <w:rFonts w:ascii="GHEA Grapalat" w:hAnsi="GHEA Grapalat"/>
          <w:sz w:val="24"/>
          <w:szCs w:val="24"/>
          <w:lang w:val="af-ZA"/>
        </w:rPr>
        <w:t xml:space="preserve"> </w:t>
      </w:r>
      <w:r w:rsidR="00FB769B" w:rsidRPr="00E626F8">
        <w:rPr>
          <w:rFonts w:ascii="GHEA Grapalat" w:eastAsia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8D12C4" w:rsidRPr="00E626F8">
        <w:rPr>
          <w:rFonts w:ascii="GHEA Grapalat" w:hAnsi="GHEA Grapalat"/>
          <w:bCs/>
          <w:sz w:val="24"/>
          <w:szCs w:val="24"/>
          <w:lang w:val="hy-AM"/>
        </w:rPr>
        <w:t>Օգտակար հանածոների (հանքային ռեսուրսների)՝ պետական կադաստրի (ՕՀՊԿ) և օգտակար հանածոների պաշարների պետական հաշվեկշռի (ՕՀՊՊՀ) վարման ավտոմատ կառավարման տեղեկատվական համակարգերի (այսուհետ նաև՝ ԱԿՏՀ) ստեղծման, վարման և պահպանման ներդրման ճանապարհային քարտեզը հաստատելու մասին» ՏԿԵ նախարարի հրամանի նախագ</w:t>
      </w:r>
      <w:r w:rsidR="008D12C4" w:rsidRPr="00E626F8">
        <w:rPr>
          <w:rFonts w:ascii="GHEA Grapalat" w:hAnsi="GHEA Grapalat"/>
          <w:bCs/>
          <w:sz w:val="24"/>
          <w:szCs w:val="24"/>
          <w:lang w:val="hy-AM"/>
        </w:rPr>
        <w:t>ծի</w:t>
      </w:r>
      <w:r w:rsidR="00EE09D5" w:rsidRPr="00E626F8">
        <w:rPr>
          <w:rFonts w:ascii="GHEA Grapalat" w:hAnsi="GHEA Grapalat"/>
          <w:sz w:val="24"/>
          <w:szCs w:val="24"/>
          <w:lang w:val="hy-AM"/>
        </w:rPr>
        <w:t xml:space="preserve"> (այսուհետ՝ Նախագ</w:t>
      </w:r>
      <w:r w:rsidR="008D12C4" w:rsidRPr="00E626F8">
        <w:rPr>
          <w:rFonts w:ascii="GHEA Grapalat" w:hAnsi="GHEA Grapalat"/>
          <w:sz w:val="24"/>
          <w:szCs w:val="24"/>
          <w:lang w:val="hy-AM"/>
        </w:rPr>
        <w:t>ի</w:t>
      </w:r>
      <w:r w:rsidR="00EE09D5" w:rsidRPr="00E626F8">
        <w:rPr>
          <w:rFonts w:ascii="GHEA Grapalat" w:hAnsi="GHEA Grapalat"/>
          <w:sz w:val="24"/>
          <w:szCs w:val="24"/>
          <w:lang w:val="hy-AM"/>
        </w:rPr>
        <w:t>ծ)</w:t>
      </w:r>
      <w:r w:rsidR="00FB769B" w:rsidRPr="00E626F8">
        <w:rPr>
          <w:rFonts w:ascii="GHEA Grapalat" w:hAnsi="GHEA Grapalat"/>
          <w:sz w:val="24"/>
          <w:szCs w:val="24"/>
          <w:lang w:val="hy-AM"/>
        </w:rPr>
        <w:t xml:space="preserve"> մշակումը բխում է</w:t>
      </w:r>
      <w:r w:rsidR="00C6209C" w:rsidRPr="00E626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2C4" w:rsidRPr="00E626F8">
        <w:rPr>
          <w:rFonts w:ascii="GHEA Grapalat" w:hAnsi="GHEA Grapalat"/>
          <w:bCs/>
          <w:sz w:val="24"/>
          <w:szCs w:val="24"/>
          <w:lang w:val="hy-AM"/>
        </w:rPr>
        <w:t xml:space="preserve">2021 թվականի նոյեմբերի 18-ի ՀՀ կառավարության թիվ 1902-Լ որոշման 1-ին հավելվածի «Տարածքային կառավարման և ենթակառուցվածքների նախարարություն» բաժնի 20.1-ին կետի </w:t>
      </w:r>
      <w:r w:rsidRPr="00E626F8">
        <w:rPr>
          <w:rFonts w:ascii="GHEA Grapalat" w:hAnsi="GHEA Grapalat"/>
          <w:bCs/>
          <w:sz w:val="24"/>
          <w:szCs w:val="24"/>
          <w:lang w:val="hy-AM"/>
        </w:rPr>
        <w:t>և</w:t>
      </w:r>
      <w:r w:rsidRPr="00E626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/>
          <w:sz w:val="24"/>
          <w:szCs w:val="24"/>
          <w:lang w:val="hy-AM"/>
        </w:rPr>
        <w:t>Հանքարդյունաբերության ոլորտի զարգացման ռազմավարության գործողությունների պլանով սահմանված 1-ին նպատակի</w:t>
      </w:r>
      <w:r w:rsidRPr="00E626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theme="minorBidi"/>
          <w:sz w:val="24"/>
          <w:szCs w:val="24"/>
          <w:lang w:val="hy-AM"/>
        </w:rPr>
        <w:t>1</w:t>
      </w:r>
      <w:r w:rsidRPr="00E626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626F8">
        <w:rPr>
          <w:rFonts w:ascii="GHEA Grapalat" w:hAnsi="GHEA Grapalat" w:cstheme="minorBidi"/>
          <w:sz w:val="24"/>
          <w:szCs w:val="24"/>
          <w:lang w:val="hy-AM"/>
        </w:rPr>
        <w:t xml:space="preserve">1-ին թիրախային ուղղության 1-ին կետի </w:t>
      </w:r>
      <w:r w:rsidRPr="00E626F8">
        <w:rPr>
          <w:rFonts w:ascii="GHEA Grapalat" w:hAnsi="GHEA Grapalat"/>
          <w:sz w:val="24"/>
          <w:szCs w:val="24"/>
          <w:lang w:val="hy-AM"/>
        </w:rPr>
        <w:t>պահանջ</w:t>
      </w:r>
      <w:r w:rsidRPr="00E626F8">
        <w:rPr>
          <w:rFonts w:ascii="GHEA Grapalat" w:hAnsi="GHEA Grapalat"/>
          <w:sz w:val="24"/>
          <w:szCs w:val="24"/>
          <w:lang w:val="hy-AM"/>
        </w:rPr>
        <w:t>ներ</w:t>
      </w:r>
      <w:r w:rsidRPr="00E626F8">
        <w:rPr>
          <w:rFonts w:ascii="GHEA Grapalat" w:hAnsi="GHEA Grapalat"/>
          <w:sz w:val="24"/>
          <w:szCs w:val="24"/>
          <w:lang w:val="hy-AM"/>
        </w:rPr>
        <w:t>ից:</w:t>
      </w:r>
      <w:r w:rsidRPr="00E626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/>
          <w:sz w:val="24"/>
          <w:szCs w:val="24"/>
          <w:lang w:val="hy-AM"/>
        </w:rPr>
        <w:t xml:space="preserve">Սույն միջոցառման նպատակն է՝ մշակել ճանապարհային քարտեզ՝ ՕՀՊԿ և ՕՀՊՊՀ փոխգործելի ավտոմատ կառավարման տեղեկատվական  համակարգերի ստեղծման, վարման, պահպանման և ներդրման համար։ Այնուհետև համաձայն հաստատված ճանապարհային քարտեզի՝ իրագործել ԱԿՏՀ ստեղծման աշխատանքները, որի արդյունքում կապահովվի տեղեկատվական համակարգերի ներդրման գործընթացը։ ՕՀՊԿ և ՕՀՊՊՀ ԱԿՏՀ-ն իրենցից ներկայացնելու են ռեսուրսների և պաշարների թվային կադաստր, որը ոչ միայն կներառի ինչպես տասնամյակներում կուտակված ողջ տեղեկատվությունը, այնպես էլ կնպաստի օրենսդրությամբ սահմանված գործառույթների արդյունավետ իրականացմանը։ </w:t>
      </w:r>
    </w:p>
    <w:p w14:paraId="6D549EA8" w14:textId="4621EBD9" w:rsidR="008D12C4" w:rsidRPr="00E626F8" w:rsidRDefault="003D6E4C" w:rsidP="00E626F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GHEA Grapalat" w:hAnsi="GHEA Grapalat" w:cs="Arial Armenian"/>
          <w:bCs/>
          <w:sz w:val="24"/>
          <w:szCs w:val="24"/>
          <w:lang w:val="hy-AM"/>
        </w:rPr>
      </w:pPr>
      <w:r w:rsidRPr="00E626F8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626F8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E626F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F46EC" w:rsidRPr="00E626F8">
        <w:rPr>
          <w:rFonts w:ascii="GHEA Grapalat" w:hAnsi="GHEA Grapalat"/>
          <w:b/>
          <w:i/>
          <w:sz w:val="24"/>
          <w:szCs w:val="24"/>
          <w:lang w:val="hy-AM"/>
        </w:rPr>
        <w:t xml:space="preserve">Ընթացիկ իրավիճակը և խնդիրները </w:t>
      </w:r>
      <w:r w:rsidR="00BF46EC" w:rsidRPr="00E626F8">
        <w:rPr>
          <w:rFonts w:ascii="GHEA Grapalat" w:hAnsi="GHEA Grapalat" w:cs="Arial"/>
          <w:b/>
          <w:i/>
          <w:sz w:val="24"/>
          <w:szCs w:val="24"/>
          <w:lang w:val="hy-AM"/>
        </w:rPr>
        <w:t>–</w:t>
      </w:r>
      <w:r w:rsidR="00BF46EC" w:rsidRPr="00E626F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Sylfaen"/>
          <w:sz w:val="24"/>
          <w:szCs w:val="24"/>
          <w:lang w:val="hy-AM"/>
        </w:rPr>
        <w:t xml:space="preserve">Ներկայում </w:t>
      </w:r>
      <w:r w:rsidR="008D12C4" w:rsidRPr="00E626F8">
        <w:rPr>
          <w:rFonts w:ascii="GHEA Grapalat" w:hAnsi="GHEA Grapalat"/>
          <w:sz w:val="24"/>
          <w:szCs w:val="24"/>
          <w:lang w:val="hy-AM"/>
        </w:rPr>
        <w:t xml:space="preserve">երկրաբանական ֆոնդում պահվող ողջ արժեքավոր տեղեկատվությունն ունի ոչ միայն արխիվային կամ գիտական նշանակություն, այլև տեղեկատվության պահպանման, թարմացման, տնօրինման, տնտեսվարողների կողմից ամենամյա հաշվետվությունների հիման վրա պաշարների շարժի վարման, հանքավայրերի և հանքերևակումների գույքագրման, այդ ամբողջ բազայի հիման վրա քաղաքացիներին և տնտեսվարողներին ծառայությունների մատուցման նշանակություն։ </w:t>
      </w:r>
      <w:r w:rsidR="00DB7E39" w:rsidRPr="00E626F8">
        <w:rPr>
          <w:rFonts w:ascii="GHEA Grapalat" w:hAnsi="GHEA Grapalat"/>
          <w:sz w:val="24"/>
          <w:szCs w:val="24"/>
          <w:lang w:val="hy-AM"/>
        </w:rPr>
        <w:t xml:space="preserve">Ընդերքի մասին տեղեկության թվային կադաստրի </w:t>
      </w:r>
      <w:r w:rsidR="00DB7E39" w:rsidRPr="00E626F8">
        <w:rPr>
          <w:rFonts w:ascii="GHEA Grapalat" w:hAnsi="GHEA Grapalat" w:cs="Arial Armenian"/>
          <w:b/>
          <w:sz w:val="24"/>
          <w:szCs w:val="24"/>
          <w:lang w:val="hy-AM"/>
        </w:rPr>
        <w:t>ստեղծումն էական նշանակություն ունի</w:t>
      </w:r>
      <w:r w:rsidR="00DB7E39" w:rsidRPr="00E626F8">
        <w:rPr>
          <w:rFonts w:ascii="GHEA Grapalat" w:hAnsi="GHEA Grapalat" w:cs="Arial Armenian"/>
          <w:bCs/>
          <w:sz w:val="24"/>
          <w:szCs w:val="24"/>
          <w:lang w:val="hy-AM"/>
        </w:rPr>
        <w:t xml:space="preserve"> Հայաստանի ընդերքի վերաբերյալ ՀԽՍՀ ժամանակից ժառանգություն ստացած </w:t>
      </w:r>
      <w:r w:rsidR="00DB7E39" w:rsidRPr="00E626F8">
        <w:rPr>
          <w:rFonts w:ascii="GHEA Grapalat" w:hAnsi="GHEA Grapalat" w:cs="Arial Armenian"/>
          <w:b/>
          <w:sz w:val="24"/>
          <w:szCs w:val="24"/>
          <w:lang w:val="hy-AM"/>
        </w:rPr>
        <w:t xml:space="preserve">տեղեկատվությունը միջազգային </w:t>
      </w:r>
      <w:r w:rsidR="00DB7E39" w:rsidRPr="00E626F8">
        <w:rPr>
          <w:rFonts w:ascii="GHEA Grapalat" w:hAnsi="GHEA Grapalat" w:cs="Arial Armenian"/>
          <w:b/>
          <w:sz w:val="24"/>
          <w:szCs w:val="24"/>
          <w:lang w:val="hy-AM"/>
        </w:rPr>
        <w:lastRenderedPageBreak/>
        <w:t>ներդրողներին հասկանալի, մատչելի և պատշաճ ներկայացնելու</w:t>
      </w:r>
      <w:r w:rsidR="00DB7E39" w:rsidRPr="00E626F8">
        <w:rPr>
          <w:rFonts w:ascii="GHEA Grapalat" w:hAnsi="GHEA Grapalat" w:cs="Arial Armenian"/>
          <w:bCs/>
          <w:sz w:val="24"/>
          <w:szCs w:val="24"/>
          <w:lang w:val="hy-AM"/>
        </w:rPr>
        <w:t xml:space="preserve">  նպատակով։ Նշված միջոցառումը ենթակա է առաջնային կատարման և դրա հրատապությունը հիմնավորվում է այն հանգամանքով, որ ՀԽՍՀ ժամանակահատվածում Հայաստանի Հանրապետության ընդերքը խորքային կերպով ուսումնասիրվել է և այդ ուսումնասիրության տվյալները իրենցից ներկայացնում են թանկարժեք տեղեկատվություն (</w:t>
      </w:r>
      <w:r w:rsidR="00DB7E39" w:rsidRPr="00E626F8">
        <w:rPr>
          <w:rFonts w:ascii="GHEA Grapalat" w:hAnsi="GHEA Grapalat" w:cs="Arial Armenian"/>
          <w:b/>
          <w:sz w:val="24"/>
          <w:szCs w:val="24"/>
          <w:lang w:val="hy-AM"/>
        </w:rPr>
        <w:t>նշված տեղեկատվության օգտագործումը հիմք է հանդիսանում ինչպես նոր հանքավայրերի հայտնաբերման և շահագործման, այնպես էլ օգտակար հանածոների արդյունահանման նպատակով երկրաբանական ուսսումնասիրությունների իրականացման համար)</w:t>
      </w:r>
      <w:r w:rsidR="00DB7E39" w:rsidRPr="00E626F8">
        <w:rPr>
          <w:rFonts w:ascii="GHEA Grapalat" w:hAnsi="GHEA Grapalat" w:cs="Arial Armenian"/>
          <w:bCs/>
          <w:sz w:val="24"/>
          <w:szCs w:val="24"/>
          <w:lang w:val="hy-AM"/>
        </w:rPr>
        <w:t>, սակայն նշված տեղեկատվությունը 1930-ական թվականներից պահպանվում է թղթային և սկանավորված տարբերակով, ուստի առկա է դրա մաշվածությունը, ոչնչացումը բացառելու խնդիր, բացի այդ միջազգային ներդրողներին տեղեկատվությունը հասանելի դարձնելու և պատշաճ ներկայացնելու նպատակով անհրաժեշտ է դրա թվայնացում, որը մատչելի և հասկանալի կդարձնի Հայաստանի ընդերքի վերաբերյալ տեղեկատվությունը օտարերկրյա ներդրողներին։</w:t>
      </w:r>
    </w:p>
    <w:p w14:paraId="1A240AF7" w14:textId="625792DB" w:rsidR="00BF46EC" w:rsidRPr="00E626F8" w:rsidRDefault="00BF46EC" w:rsidP="00E626F8">
      <w:pPr>
        <w:pStyle w:val="a3"/>
        <w:tabs>
          <w:tab w:val="left" w:pos="851"/>
        </w:tabs>
        <w:spacing w:after="0" w:line="276" w:lineRule="auto"/>
        <w:ind w:left="0" w:right="0" w:firstLine="720"/>
        <w:rPr>
          <w:rFonts w:ascii="GHEA Grapalat" w:hAnsi="GHEA Grapalat"/>
          <w:sz w:val="24"/>
          <w:szCs w:val="24"/>
          <w:lang w:val="hy-AM"/>
        </w:rPr>
      </w:pPr>
      <w:r w:rsidRPr="00E626F8">
        <w:rPr>
          <w:rFonts w:ascii="GHEA Grapalat" w:hAnsi="GHEA Grapalat"/>
          <w:b/>
          <w:i/>
          <w:sz w:val="24"/>
          <w:szCs w:val="24"/>
          <w:lang w:val="hy-AM"/>
        </w:rPr>
        <w:t>3. Նախագծի մշակման գործընթացում ներգրավված ինստիտուտները և անձինք</w:t>
      </w:r>
      <w:r w:rsidRPr="00E626F8">
        <w:rPr>
          <w:rFonts w:ascii="GHEA Grapalat" w:hAnsi="GHEA Grapalat"/>
          <w:sz w:val="24"/>
          <w:szCs w:val="24"/>
          <w:lang w:val="af-ZA"/>
        </w:rPr>
        <w:t xml:space="preserve"> – </w:t>
      </w:r>
      <w:r w:rsidRPr="00E626F8">
        <w:rPr>
          <w:rFonts w:ascii="GHEA Grapalat" w:hAnsi="GHEA Grapalat" w:cs="Sylfaen"/>
          <w:sz w:val="24"/>
          <w:szCs w:val="24"/>
          <w:lang w:val="hy-AM"/>
        </w:rPr>
        <w:t>Սույն նախագիծը</w:t>
      </w:r>
      <w:r w:rsidRPr="00E626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626F8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626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626F8">
        <w:rPr>
          <w:rFonts w:ascii="GHEA Grapalat" w:hAnsi="GHEA Grapalat" w:cs="Sylfaen"/>
          <w:sz w:val="24"/>
          <w:szCs w:val="24"/>
          <w:lang w:val="hy-AM"/>
        </w:rPr>
        <w:t>է</w:t>
      </w:r>
      <w:r w:rsidRPr="00E626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626F8">
        <w:rPr>
          <w:rFonts w:ascii="GHEA Grapalat" w:hAnsi="GHEA Grapalat" w:cs="Sylfaen"/>
          <w:sz w:val="24"/>
          <w:szCs w:val="24"/>
          <w:lang w:val="hy-AM"/>
        </w:rPr>
        <w:t>ՀՀ տարածքային կառավարման և ենթակառուցվածքների նախարարության</w:t>
      </w:r>
      <w:r w:rsidRPr="00E626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626F8">
        <w:rPr>
          <w:rFonts w:ascii="GHEA Grapalat" w:hAnsi="GHEA Grapalat"/>
          <w:sz w:val="24"/>
          <w:szCs w:val="24"/>
          <w:lang w:val="hy-AM"/>
        </w:rPr>
        <w:t>կողմից</w:t>
      </w:r>
      <w:r w:rsidRPr="00E626F8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73D121BD" w14:textId="0EBBE6A1" w:rsidR="004B5B00" w:rsidRPr="00E626F8" w:rsidRDefault="00BF46EC" w:rsidP="00E626F8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626F8">
        <w:rPr>
          <w:rFonts w:ascii="GHEA Grapalat" w:hAnsi="GHEA Grapalat"/>
          <w:b/>
          <w:i/>
          <w:sz w:val="24"/>
          <w:szCs w:val="24"/>
          <w:lang w:val="hy-AM"/>
        </w:rPr>
        <w:t>4. Ակնկալվող</w:t>
      </w:r>
      <w:r w:rsidRPr="00E626F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E626F8">
        <w:rPr>
          <w:rFonts w:ascii="GHEA Grapalat" w:hAnsi="GHEA Grapalat"/>
          <w:b/>
          <w:i/>
          <w:sz w:val="24"/>
          <w:szCs w:val="24"/>
          <w:lang w:val="hy-AM"/>
        </w:rPr>
        <w:t>արդյունքը</w:t>
      </w:r>
      <w:r w:rsidRPr="00E626F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626F8">
        <w:rPr>
          <w:rFonts w:ascii="GHEA Grapalat" w:hAnsi="GHEA Grapalat" w:cs="Sylfaen"/>
          <w:sz w:val="24"/>
          <w:szCs w:val="24"/>
          <w:lang w:val="af-ZA"/>
        </w:rPr>
        <w:t>–</w:t>
      </w:r>
      <w:r w:rsidR="00A5101E" w:rsidRPr="00E626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5B00" w:rsidRPr="00E626F8">
        <w:rPr>
          <w:rFonts w:ascii="GHEA Grapalat" w:hAnsi="GHEA Grapalat"/>
          <w:sz w:val="24"/>
          <w:szCs w:val="24"/>
          <w:lang w:val="hy-AM"/>
        </w:rPr>
        <w:t xml:space="preserve">Արդյունավետ, թափանցիկ և մատչելի էլեկտրոնային կառավարման համակարգի ներդրումը կնպաստի առավել արդյունավետ բաց, թափանցիկ և հաշվետու կառավարման համակարգի ապահովմանն ուղղված պետության հռչակած հանձնառությունների իրականացմանը։ Այն կնպաստի ինչպես պետական համակարգի ու պետական ծառայությունների արդյունավետ մատուցմանը, այնպես էլ մասնավոր հատվածում մրցունակության բարձրացմանը։ Միաժամանակ ոլորտային ամբողջական և մատչելի տեղեկության առկայությունը կարևոր նախապայման է ոլորտին առնչվող արդյունավետ որոշումների կայացման և բարեփոխումների իրականացման, </w:t>
      </w:r>
      <w:r w:rsidR="004B5B00" w:rsidRPr="00E626F8">
        <w:rPr>
          <w:rFonts w:ascii="GHEA Grapalat" w:hAnsi="GHEA Grapalat"/>
          <w:sz w:val="24"/>
          <w:szCs w:val="24"/>
          <w:lang w:val="hy-AM"/>
        </w:rPr>
        <w:t xml:space="preserve">ներդրումների ներգրավման, </w:t>
      </w:r>
      <w:r w:rsidR="004B5B00" w:rsidRPr="00E626F8">
        <w:rPr>
          <w:rFonts w:ascii="GHEA Grapalat" w:hAnsi="GHEA Grapalat"/>
          <w:sz w:val="24"/>
          <w:szCs w:val="24"/>
          <w:lang w:val="hy-AM"/>
        </w:rPr>
        <w:t>ինչպես նաև հանրային վերահսկողության համար։</w:t>
      </w:r>
    </w:p>
    <w:p w14:paraId="1A350DCB" w14:textId="1E61CCF5" w:rsidR="0017170B" w:rsidRPr="00E626F8" w:rsidRDefault="004B5B00" w:rsidP="00E626F8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626F8">
        <w:rPr>
          <w:rFonts w:ascii="GHEA Grapalat" w:hAnsi="GHEA Grapalat"/>
          <w:sz w:val="24"/>
          <w:szCs w:val="24"/>
          <w:lang w:val="hy-AM"/>
        </w:rPr>
        <w:t xml:space="preserve">Բացի այդ, օգտակար հանածոների հանքավայրերի և հանքերևակումների պետական կադաստրի (ՕՀՊԿ), օգտակար հանածոների պաշարների պետական հաշվեկշռի (ՕՀՊՊՀ) վարման նպատակով </w:t>
      </w:r>
      <w:r w:rsidRPr="00E626F8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թվային տեղեկատվական բազաների առկայությունը հնարավորություն կստեղծի ապահովելու ոլորտային տարածական տվյալների ինտեգր</w:t>
      </w:r>
      <w:r w:rsidRPr="00E626F8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մանը</w:t>
      </w:r>
      <w:r w:rsidRPr="00E626F8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ՀՀ կադաստրի կոմիտեի ազգային գեոպորտալի շերտերում</w:t>
      </w:r>
      <w:r w:rsidRPr="00E626F8">
        <w:rPr>
          <w:rFonts w:ascii="GHEA Grapalat" w:hAnsi="GHEA Grapalat"/>
          <w:i/>
          <w:iCs/>
          <w:sz w:val="24"/>
          <w:szCs w:val="24"/>
          <w:lang w:val="hy-AM"/>
        </w:rPr>
        <w:t xml:space="preserve"> («Երկրաբանություն» և «Հանքային ռեսուրսներ / օգտակար հանածոներ» թեմատիկ խմբերի տարածական տվյալների շերտեր</w:t>
      </w:r>
      <w:r w:rsidRPr="00E626F8">
        <w:rPr>
          <w:rFonts w:ascii="GHEA Grapalat" w:hAnsi="GHEA Grapalat"/>
          <w:i/>
          <w:iCs/>
          <w:sz w:val="24"/>
          <w:szCs w:val="24"/>
          <w:lang w:val="hy-AM"/>
        </w:rPr>
        <w:t xml:space="preserve">), ինչն էլ բխում է </w:t>
      </w:r>
      <w:r w:rsidRPr="00E626F8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Pr="00E626F8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կառավարության 2019 թ. մայիսի 23-ի «Ինտեգրված կադաստրի ստեղծման հայեցակարգը և հայեցակարգից բխող միջոցառումների ծրագիրը հաստատելու մասին» N 672-Լ և ՀՀ կառավարության 2021 թվականի ապրիլի 8-ի «Ինտեգրված կադաստրի ստեղծման ռազմավարական ծրագիրը հաստատելու մասին» N 505-Լ որոշումներով հաստատված</w:t>
      </w:r>
      <w:r w:rsidRPr="00E626F8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Pr="00E626F8">
        <w:rPr>
          <w:rFonts w:ascii="GHEA Grapalat" w:hAnsi="GHEA Grapalat"/>
          <w:b/>
          <w:bCs/>
          <w:sz w:val="24"/>
          <w:szCs w:val="24"/>
          <w:lang w:val="hy-AM"/>
        </w:rPr>
        <w:t xml:space="preserve"> ինտեգրված կադաստրի ստեղծման ծրագրից և այն ապահովող միջոցառումներից</w:t>
      </w:r>
      <w:r w:rsidR="00050E9E" w:rsidRPr="00E626F8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7688C613" w14:textId="30E87A64" w:rsidR="00BF46EC" w:rsidRPr="00E626F8" w:rsidRDefault="00BF46EC" w:rsidP="00E626F8">
      <w:pPr>
        <w:pStyle w:val="a3"/>
        <w:tabs>
          <w:tab w:val="left" w:pos="-4860"/>
          <w:tab w:val="left" w:pos="0"/>
          <w:tab w:val="left" w:pos="1276"/>
        </w:tabs>
        <w:spacing w:after="0" w:line="276" w:lineRule="auto"/>
        <w:ind w:left="0" w:right="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626F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5. </w:t>
      </w:r>
      <w:r w:rsidRPr="00E626F8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Ներկայացվող հարցի կապակցությամբ լրացուցիչ ֆինանսական միջոցների անհրաժեշտությունը և Հայաստանի Հանրապետության պետական բյուջեի եկամուտներում և ծախսերում սպասվելիք փոփոխությունները – </w:t>
      </w:r>
      <w:r w:rsidR="0017170B" w:rsidRPr="00E626F8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Ներկայացված</w:t>
      </w:r>
      <w:r w:rsidR="0017170B" w:rsidRPr="00E626F8">
        <w:rPr>
          <w:rFonts w:ascii="GHEA Grapalat" w:hAnsi="GHEA Grapalat"/>
          <w:bCs/>
          <w:sz w:val="24"/>
          <w:szCs w:val="24"/>
          <w:lang w:val="hy-AM"/>
        </w:rPr>
        <w:t xml:space="preserve"> նախագծի</w:t>
      </w:r>
      <w:r w:rsidR="0017170B" w:rsidRPr="00E626F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ընդունման կապակցությամբ պետական կամ տեղական ինքնակառավարման մարմնի բյուջեում եկամուտների և ծախսերի էական ավելացում կամ նվազեցում չի նախատեսվում։</w:t>
      </w:r>
    </w:p>
    <w:p w14:paraId="7823CD65" w14:textId="77777777" w:rsidR="00BF46EC" w:rsidRPr="00E626F8" w:rsidRDefault="00BF46EC" w:rsidP="00E626F8">
      <w:pPr>
        <w:tabs>
          <w:tab w:val="left" w:pos="4155"/>
        </w:tabs>
        <w:spacing w:after="0" w:line="276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626F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6</w:t>
      </w:r>
      <w:r w:rsidRPr="00E626F8">
        <w:rPr>
          <w:rFonts w:ascii="GHEA Grapalat" w:hAnsi="GHEA Grapalat" w:cs="Times New Roman"/>
          <w:b/>
          <w:bCs/>
          <w:color w:val="000000" w:themeColor="text1"/>
          <w:sz w:val="24"/>
          <w:szCs w:val="24"/>
          <w:lang w:val="hy-AM"/>
        </w:rPr>
        <w:t>.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Կապը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ռազմավարական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փաստաթղթերի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հետ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Հայաստանի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վերափոխման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ռազմավարություն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2050,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Կառավարության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2021-2026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թթ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ծրագիր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ոլորտային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և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այլ</w:t>
      </w:r>
      <w:r w:rsidRPr="00E626F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E626F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ռազմավարություններ.</w:t>
      </w:r>
    </w:p>
    <w:p w14:paraId="108B9DB2" w14:textId="34B298A0" w:rsidR="000A5EC9" w:rsidRPr="00E626F8" w:rsidRDefault="00BF46EC" w:rsidP="00E626F8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E626F8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Ներկայացվող նախագծ</w:t>
      </w:r>
      <w:r w:rsidR="00A6341B" w:rsidRPr="00E626F8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եր</w:t>
      </w:r>
      <w:r w:rsidRPr="00E626F8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 մշակումը բխում</w:t>
      </w:r>
      <w:r w:rsidR="00A5101E" w:rsidRPr="00E626F8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է</w:t>
      </w:r>
      <w:r w:rsidRPr="00E626F8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3060A3" w:rsidRPr="00E626F8">
        <w:rPr>
          <w:rFonts w:ascii="GHEA Grapalat" w:hAnsi="GHEA Grapalat"/>
          <w:sz w:val="24"/>
          <w:szCs w:val="24"/>
          <w:lang w:val="hy-AM"/>
        </w:rPr>
        <w:t>ՀՀ Ազգային ժողովի 2021թ.-ի օգոստոսի 26-ի № ԱԺՈ-002-Ն որոշմամբ հավանության արժանացած ՀՀ կառավարության 2021-2026թթ</w:t>
      </w:r>
      <w:r w:rsidR="003060A3" w:rsidRPr="00E626F8">
        <w:rPr>
          <w:rFonts w:ascii="Cambria Math" w:hAnsi="Cambria Math" w:cs="Cambria Math"/>
          <w:sz w:val="24"/>
          <w:szCs w:val="24"/>
          <w:lang w:val="hy-AM"/>
        </w:rPr>
        <w:t>․</w:t>
      </w:r>
      <w:r w:rsidR="003060A3" w:rsidRPr="00E626F8">
        <w:rPr>
          <w:rFonts w:ascii="GHEA Grapalat" w:hAnsi="GHEA Grapalat"/>
          <w:sz w:val="24"/>
          <w:szCs w:val="24"/>
          <w:lang w:val="hy-AM"/>
        </w:rPr>
        <w:t xml:space="preserve"> ծրագրի 2.8–րդ բաժնի 1-ին պարբերության 11-րդ կետով նախատեսված հանձնառություններից և 2020-2050թթ. Հայաստանի վերափոխման ռազմավարության 3-րդ մեգանպատակից, ինչպես նաև 2023թ</w:t>
      </w:r>
      <w:r w:rsidR="003060A3" w:rsidRPr="00E626F8">
        <w:rPr>
          <w:rFonts w:ascii="Cambria Math" w:hAnsi="Cambria Math" w:cs="Cambria Math"/>
          <w:sz w:val="24"/>
          <w:szCs w:val="24"/>
          <w:lang w:val="hy-AM"/>
        </w:rPr>
        <w:t>․</w:t>
      </w:r>
      <w:r w:rsidR="003060A3" w:rsidRPr="00E626F8">
        <w:rPr>
          <w:rFonts w:ascii="GHEA Grapalat" w:hAnsi="GHEA Grapalat"/>
          <w:sz w:val="24"/>
          <w:szCs w:val="24"/>
          <w:lang w:val="hy-AM"/>
        </w:rPr>
        <w:t xml:space="preserve"> մայիսի 11-ին հաստատված՝ Հանքարդյունաբերության ոլորտի զարգացման ռազմավարության գործողությունների պլանով սահմանված 1-ին նպատակից:</w:t>
      </w:r>
    </w:p>
    <w:sectPr w:rsidR="000A5EC9" w:rsidRPr="00E626F8" w:rsidSect="00910E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14E0" w14:textId="77777777" w:rsidR="00DB6BF8" w:rsidRDefault="00DB6BF8" w:rsidP="004212B1">
      <w:pPr>
        <w:spacing w:after="0" w:line="240" w:lineRule="auto"/>
      </w:pPr>
      <w:r>
        <w:separator/>
      </w:r>
    </w:p>
  </w:endnote>
  <w:endnote w:type="continuationSeparator" w:id="0">
    <w:p w14:paraId="560787B2" w14:textId="77777777" w:rsidR="00DB6BF8" w:rsidRDefault="00DB6BF8" w:rsidP="0042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FCE1" w14:textId="77777777" w:rsidR="00DB6BF8" w:rsidRDefault="00DB6BF8" w:rsidP="004212B1">
      <w:pPr>
        <w:spacing w:after="0" w:line="240" w:lineRule="auto"/>
      </w:pPr>
      <w:r>
        <w:separator/>
      </w:r>
    </w:p>
  </w:footnote>
  <w:footnote w:type="continuationSeparator" w:id="0">
    <w:p w14:paraId="7DB570A3" w14:textId="77777777" w:rsidR="00DB6BF8" w:rsidRDefault="00DB6BF8" w:rsidP="0042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4289"/>
    <w:multiLevelType w:val="hybridMultilevel"/>
    <w:tmpl w:val="45146CAC"/>
    <w:lvl w:ilvl="0" w:tplc="A3686EA6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639F"/>
    <w:multiLevelType w:val="hybridMultilevel"/>
    <w:tmpl w:val="1B4A6AA4"/>
    <w:lvl w:ilvl="0" w:tplc="830E14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F48"/>
    <w:multiLevelType w:val="hybridMultilevel"/>
    <w:tmpl w:val="D1D0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BC9"/>
    <w:multiLevelType w:val="hybridMultilevel"/>
    <w:tmpl w:val="7EA0442C"/>
    <w:lvl w:ilvl="0" w:tplc="586CBD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26B34"/>
    <w:multiLevelType w:val="hybridMultilevel"/>
    <w:tmpl w:val="A7ACF4E2"/>
    <w:lvl w:ilvl="0" w:tplc="E414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647861">
    <w:abstractNumId w:val="0"/>
  </w:num>
  <w:num w:numId="2" w16cid:durableId="1555387067">
    <w:abstractNumId w:val="1"/>
  </w:num>
  <w:num w:numId="3" w16cid:durableId="149835403">
    <w:abstractNumId w:val="4"/>
  </w:num>
  <w:num w:numId="4" w16cid:durableId="691031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182293">
    <w:abstractNumId w:val="3"/>
  </w:num>
  <w:num w:numId="6" w16cid:durableId="52390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1"/>
    <w:rsid w:val="00014315"/>
    <w:rsid w:val="0002183B"/>
    <w:rsid w:val="0002592A"/>
    <w:rsid w:val="00050E9E"/>
    <w:rsid w:val="00072CF1"/>
    <w:rsid w:val="0007386C"/>
    <w:rsid w:val="00080861"/>
    <w:rsid w:val="00080EEB"/>
    <w:rsid w:val="000A3CA6"/>
    <w:rsid w:val="000A5EC9"/>
    <w:rsid w:val="000C3B5D"/>
    <w:rsid w:val="000D6258"/>
    <w:rsid w:val="00121667"/>
    <w:rsid w:val="0013584F"/>
    <w:rsid w:val="001629B9"/>
    <w:rsid w:val="0017170B"/>
    <w:rsid w:val="00171851"/>
    <w:rsid w:val="0018161E"/>
    <w:rsid w:val="00182E7B"/>
    <w:rsid w:val="001B08EC"/>
    <w:rsid w:val="001D55C0"/>
    <w:rsid w:val="001F3601"/>
    <w:rsid w:val="00230CB2"/>
    <w:rsid w:val="00271748"/>
    <w:rsid w:val="00281EAA"/>
    <w:rsid w:val="002D6EF0"/>
    <w:rsid w:val="003060A3"/>
    <w:rsid w:val="00313842"/>
    <w:rsid w:val="003211C4"/>
    <w:rsid w:val="003411BD"/>
    <w:rsid w:val="003522E7"/>
    <w:rsid w:val="00361152"/>
    <w:rsid w:val="00384079"/>
    <w:rsid w:val="00390EA2"/>
    <w:rsid w:val="003B1A17"/>
    <w:rsid w:val="003B55EC"/>
    <w:rsid w:val="003D6E4C"/>
    <w:rsid w:val="003E2F6D"/>
    <w:rsid w:val="003F7DAC"/>
    <w:rsid w:val="004000E7"/>
    <w:rsid w:val="00403F92"/>
    <w:rsid w:val="004100B1"/>
    <w:rsid w:val="004212B1"/>
    <w:rsid w:val="00447967"/>
    <w:rsid w:val="004801A2"/>
    <w:rsid w:val="00484900"/>
    <w:rsid w:val="00487EF7"/>
    <w:rsid w:val="0049452F"/>
    <w:rsid w:val="004B5B00"/>
    <w:rsid w:val="004F5514"/>
    <w:rsid w:val="005044B6"/>
    <w:rsid w:val="005420A3"/>
    <w:rsid w:val="0055763F"/>
    <w:rsid w:val="005927D5"/>
    <w:rsid w:val="005B7A9D"/>
    <w:rsid w:val="00602F9F"/>
    <w:rsid w:val="00605781"/>
    <w:rsid w:val="00610DE8"/>
    <w:rsid w:val="006315D8"/>
    <w:rsid w:val="00674F88"/>
    <w:rsid w:val="00675994"/>
    <w:rsid w:val="006B7E49"/>
    <w:rsid w:val="006C62FA"/>
    <w:rsid w:val="006C6F70"/>
    <w:rsid w:val="006E68CB"/>
    <w:rsid w:val="007316F1"/>
    <w:rsid w:val="007502B2"/>
    <w:rsid w:val="00775C11"/>
    <w:rsid w:val="007907C1"/>
    <w:rsid w:val="007937C5"/>
    <w:rsid w:val="007B0D5B"/>
    <w:rsid w:val="007D3E39"/>
    <w:rsid w:val="007E1BA1"/>
    <w:rsid w:val="007E4671"/>
    <w:rsid w:val="007F56F0"/>
    <w:rsid w:val="00816223"/>
    <w:rsid w:val="00816987"/>
    <w:rsid w:val="00817B89"/>
    <w:rsid w:val="00846E6E"/>
    <w:rsid w:val="00872DA6"/>
    <w:rsid w:val="00884E44"/>
    <w:rsid w:val="008B6D5C"/>
    <w:rsid w:val="008D12C4"/>
    <w:rsid w:val="008D1E93"/>
    <w:rsid w:val="00910E74"/>
    <w:rsid w:val="00917D00"/>
    <w:rsid w:val="00935918"/>
    <w:rsid w:val="00985921"/>
    <w:rsid w:val="009863AF"/>
    <w:rsid w:val="0098694B"/>
    <w:rsid w:val="00986965"/>
    <w:rsid w:val="009B1004"/>
    <w:rsid w:val="009B1907"/>
    <w:rsid w:val="009B6E2B"/>
    <w:rsid w:val="009D5559"/>
    <w:rsid w:val="00A23CBB"/>
    <w:rsid w:val="00A252E8"/>
    <w:rsid w:val="00A30973"/>
    <w:rsid w:val="00A315F8"/>
    <w:rsid w:val="00A5101E"/>
    <w:rsid w:val="00A6341B"/>
    <w:rsid w:val="00A87F2A"/>
    <w:rsid w:val="00AC7800"/>
    <w:rsid w:val="00AD5D04"/>
    <w:rsid w:val="00AF5461"/>
    <w:rsid w:val="00B0005E"/>
    <w:rsid w:val="00B01E6A"/>
    <w:rsid w:val="00B201B6"/>
    <w:rsid w:val="00B2654D"/>
    <w:rsid w:val="00B34D8F"/>
    <w:rsid w:val="00B37535"/>
    <w:rsid w:val="00B51F8F"/>
    <w:rsid w:val="00B762B3"/>
    <w:rsid w:val="00B81200"/>
    <w:rsid w:val="00BA519C"/>
    <w:rsid w:val="00BB1A38"/>
    <w:rsid w:val="00BB3914"/>
    <w:rsid w:val="00BC2243"/>
    <w:rsid w:val="00BF3221"/>
    <w:rsid w:val="00BF46EC"/>
    <w:rsid w:val="00C10004"/>
    <w:rsid w:val="00C1279C"/>
    <w:rsid w:val="00C510DB"/>
    <w:rsid w:val="00C6209C"/>
    <w:rsid w:val="00CA58DD"/>
    <w:rsid w:val="00CB3697"/>
    <w:rsid w:val="00CC2B09"/>
    <w:rsid w:val="00CD5744"/>
    <w:rsid w:val="00CD6271"/>
    <w:rsid w:val="00D13CFE"/>
    <w:rsid w:val="00D31A82"/>
    <w:rsid w:val="00D40660"/>
    <w:rsid w:val="00D55B50"/>
    <w:rsid w:val="00D75DF1"/>
    <w:rsid w:val="00D777E5"/>
    <w:rsid w:val="00D800FF"/>
    <w:rsid w:val="00D82CCA"/>
    <w:rsid w:val="00D84922"/>
    <w:rsid w:val="00DB4712"/>
    <w:rsid w:val="00DB6BF8"/>
    <w:rsid w:val="00DB7E39"/>
    <w:rsid w:val="00DC4A16"/>
    <w:rsid w:val="00DD65D8"/>
    <w:rsid w:val="00DF6CAB"/>
    <w:rsid w:val="00DF729A"/>
    <w:rsid w:val="00E01699"/>
    <w:rsid w:val="00E05D39"/>
    <w:rsid w:val="00E06A0B"/>
    <w:rsid w:val="00E11F46"/>
    <w:rsid w:val="00E33A09"/>
    <w:rsid w:val="00E41862"/>
    <w:rsid w:val="00E53BDD"/>
    <w:rsid w:val="00E626F8"/>
    <w:rsid w:val="00E64E55"/>
    <w:rsid w:val="00E74441"/>
    <w:rsid w:val="00E81C3D"/>
    <w:rsid w:val="00EB5B98"/>
    <w:rsid w:val="00EC2703"/>
    <w:rsid w:val="00ED60E5"/>
    <w:rsid w:val="00EE09D5"/>
    <w:rsid w:val="00EF6CBE"/>
    <w:rsid w:val="00F14813"/>
    <w:rsid w:val="00F14A25"/>
    <w:rsid w:val="00F43D8A"/>
    <w:rsid w:val="00F47491"/>
    <w:rsid w:val="00F6519C"/>
    <w:rsid w:val="00F9448F"/>
    <w:rsid w:val="00FA4624"/>
    <w:rsid w:val="00FB769B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95AB"/>
  <w15:docId w15:val="{975F3B13-86E9-4FDE-A8E0-589D9C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B1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Liste 1,List Bullet Mary,b1,3"/>
    <w:basedOn w:val="a"/>
    <w:link w:val="a4"/>
    <w:uiPriority w:val="34"/>
    <w:qFormat/>
    <w:rsid w:val="004212B1"/>
    <w:pPr>
      <w:spacing w:after="200" w:line="360" w:lineRule="auto"/>
      <w:ind w:left="720" w:right="533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qFormat/>
    <w:locked/>
    <w:rsid w:val="004212B1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4212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212B1"/>
    <w:rPr>
      <w:sz w:val="20"/>
      <w:szCs w:val="20"/>
      <w:lang w:val="en-GB"/>
    </w:rPr>
  </w:style>
  <w:style w:type="character" w:styleId="a7">
    <w:name w:val="footnote reference"/>
    <w:basedOn w:val="a0"/>
    <w:uiPriority w:val="99"/>
    <w:unhideWhenUsed/>
    <w:rsid w:val="004212B1"/>
    <w:rPr>
      <w:vertAlign w:val="superscript"/>
    </w:rPr>
  </w:style>
  <w:style w:type="character" w:styleId="a8">
    <w:name w:val="Hyperlink"/>
    <w:basedOn w:val="a0"/>
    <w:uiPriority w:val="99"/>
    <w:unhideWhenUsed/>
    <w:rsid w:val="004212B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FB769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CA58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58DD"/>
    <w:rPr>
      <w:lang w:val="en-GB"/>
    </w:rPr>
  </w:style>
  <w:style w:type="paragraph" w:styleId="ad">
    <w:name w:val="footer"/>
    <w:basedOn w:val="a"/>
    <w:link w:val="ae"/>
    <w:uiPriority w:val="99"/>
    <w:semiHidden/>
    <w:unhideWhenUsed/>
    <w:rsid w:val="00CA58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58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0FBC-35BE-4745-9985-AA333051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s.hakobyan</dc:creator>
  <cp:keywords>https:/mul2-mta.gov.am/tasks/1245879/oneclick/5b73606a22ec5c456b10b21aaee5921f7f5909a7bbfc3246a3b446a9f7ab1952.docx?token=ecb47f86b84177329266aec524f7d6d9</cp:keywords>
  <cp:lastModifiedBy>Seda Hakobyan</cp:lastModifiedBy>
  <cp:revision>11</cp:revision>
  <dcterms:created xsi:type="dcterms:W3CDTF">2024-08-08T11:48:00Z</dcterms:created>
  <dcterms:modified xsi:type="dcterms:W3CDTF">2024-10-29T13:21:00Z</dcterms:modified>
</cp:coreProperties>
</file>