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D" w:rsidRPr="002F4B1D" w:rsidRDefault="002F4B1D" w:rsidP="002F4B1D">
      <w:pPr>
        <w:pStyle w:val="a5"/>
        <w:jc w:val="center"/>
        <w:rPr>
          <w:rFonts w:ascii="GHEA Grapalat" w:hAnsi="GHEA Grapalat"/>
          <w:color w:val="000000"/>
        </w:rPr>
      </w:pPr>
      <w:r w:rsidRPr="002F4B1D">
        <w:rPr>
          <w:rFonts w:ascii="GHEA Grapalat" w:hAnsi="GHEA Grapalat"/>
          <w:color w:val="000000"/>
        </w:rPr>
        <w:t>ՀԻՄՆԱՎՈՐՈՒՄ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Fonts w:ascii="GHEA Grapalat" w:hAnsi="GHEA Grapalat"/>
          <w:color w:val="000000"/>
        </w:rPr>
        <w:t>ՀԱՅԱՍՏԱՆԻ ՀԱՆՐԱՊԵՏՈՒԹՅԱՆ ԼՈՌՈՒ ՄԱՐԶԻ ՍՊԻՏԱԿ ՀԱՄԱՅՆՔԻ ԱՎԱԳԱՆՈՒ «ՀԱՅԱՍՏԱՆԻ ՀԱՆՐԱՊԵՏՈՒԹՅԱՆ ԼՈՌՈՒ ՄԱՐԶԻ ՍՊԻՏԱԿ ՀԱՄԱՅՆՔՈՒՄ 2025 ԹՎԱԿԱՆԻ ՏԵՂԱԿԱՆ ՏՈՒՐՔԵՐԻ ԵՎ ՎՃԱՐՆԵՐԻ ԴՐՈՒՅՔԱՉԱՓԵՐԸ ՍԱՀՄԱՆԵԼՈՒ ՄԱՍԻՆ» ՈՐՈՇՄԱՆ ՆԱԽԱԳԾԻ ԸՆԴՈՒՆՄԱՆ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Style w:val="a6"/>
          <w:rFonts w:ascii="GHEA Grapalat" w:hAnsi="GHEA Grapalat"/>
          <w:b/>
          <w:bCs/>
          <w:color w:val="000000"/>
        </w:rPr>
        <w:t xml:space="preserve">ԿԱՐԳԱՎՈՐՄԱՆ </w:t>
      </w:r>
      <w:proofErr w:type="gramStart"/>
      <w:r w:rsidRPr="002F4B1D">
        <w:rPr>
          <w:rStyle w:val="a6"/>
          <w:rFonts w:ascii="GHEA Grapalat" w:hAnsi="GHEA Grapalat"/>
          <w:b/>
          <w:bCs/>
          <w:color w:val="000000"/>
        </w:rPr>
        <w:t xml:space="preserve">ԵՆԹԱԿԱ </w:t>
      </w:r>
      <w:r w:rsidRPr="002F4B1D">
        <w:rPr>
          <w:rStyle w:val="a6"/>
          <w:rFonts w:ascii="Calibri" w:hAnsi="Calibri" w:cs="Calibri"/>
          <w:b/>
          <w:bCs/>
          <w:color w:val="000000"/>
        </w:rPr>
        <w:t> </w:t>
      </w:r>
      <w:r w:rsidRPr="002F4B1D">
        <w:rPr>
          <w:rStyle w:val="a6"/>
          <w:rFonts w:ascii="GHEA Grapalat" w:hAnsi="GHEA Grapalat" w:cs="GHEA Grapalat"/>
          <w:b/>
          <w:bCs/>
          <w:color w:val="000000"/>
        </w:rPr>
        <w:t>ԽՆԴՐԻ</w:t>
      </w:r>
      <w:proofErr w:type="gramEnd"/>
      <w:r w:rsidRPr="002F4B1D">
        <w:rPr>
          <w:rStyle w:val="a6"/>
          <w:rFonts w:ascii="GHEA Grapalat" w:hAnsi="GHEA Grapalat"/>
          <w:b/>
          <w:bCs/>
          <w:color w:val="000000"/>
        </w:rPr>
        <w:t xml:space="preserve"> </w:t>
      </w:r>
      <w:r w:rsidRPr="002F4B1D">
        <w:rPr>
          <w:rStyle w:val="a6"/>
          <w:rFonts w:ascii="GHEA Grapalat" w:hAnsi="GHEA Grapalat" w:cs="GHEA Grapalat"/>
          <w:b/>
          <w:bCs/>
          <w:color w:val="000000"/>
        </w:rPr>
        <w:t>ՍԱՀՄԱՆՈՒՄԸ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t>Սպիտակ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ավագանու</w:t>
      </w:r>
      <w:proofErr w:type="spellEnd"/>
      <w:r w:rsidRPr="002F4B1D">
        <w:rPr>
          <w:rFonts w:ascii="GHEA Grapalat" w:hAnsi="GHEA Grapalat"/>
          <w:color w:val="000000"/>
        </w:rPr>
        <w:t xml:space="preserve"> «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Լոռու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մարզի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Սպիտակ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համայնքում</w:t>
      </w:r>
      <w:proofErr w:type="spellEnd"/>
      <w:r w:rsidRPr="002F4B1D">
        <w:rPr>
          <w:rFonts w:ascii="GHEA Grapalat" w:hAnsi="GHEA Grapalat"/>
          <w:color w:val="000000"/>
        </w:rPr>
        <w:t xml:space="preserve"> 2025 </w:t>
      </w:r>
      <w:proofErr w:type="spellStart"/>
      <w:r w:rsidRPr="002F4B1D">
        <w:rPr>
          <w:rFonts w:ascii="GHEA Grapalat" w:hAnsi="GHEA Grapalat"/>
          <w:color w:val="000000"/>
        </w:rPr>
        <w:t>թվականի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դրույքաչափերը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սահմանելու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որոշման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նախագծի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ընդունումը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պայմանավորված</w:t>
      </w:r>
      <w:proofErr w:type="spellEnd"/>
      <w:r w:rsidRPr="002F4B1D">
        <w:rPr>
          <w:rFonts w:ascii="GHEA Grapalat" w:hAnsi="GHEA Grapalat"/>
          <w:color w:val="000000"/>
        </w:rPr>
        <w:t xml:space="preserve"> է «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ինքնակառավարման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bookmarkStart w:id="0" w:name="_GoBack"/>
      <w:bookmarkEnd w:id="0"/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18-րդ </w:t>
      </w:r>
      <w:proofErr w:type="spellStart"/>
      <w:r w:rsidRPr="002F4B1D">
        <w:rPr>
          <w:rFonts w:ascii="GHEA Grapalat" w:hAnsi="GHEA Grapalat"/>
          <w:color w:val="000000"/>
        </w:rPr>
        <w:t>հոդվածի</w:t>
      </w:r>
      <w:proofErr w:type="spellEnd"/>
      <w:r w:rsidRPr="002F4B1D">
        <w:rPr>
          <w:rFonts w:ascii="GHEA Grapalat" w:hAnsi="GHEA Grapalat"/>
          <w:color w:val="000000"/>
        </w:rPr>
        <w:t xml:space="preserve"> 1-ին </w:t>
      </w:r>
      <w:proofErr w:type="spellStart"/>
      <w:r w:rsidRPr="002F4B1D">
        <w:rPr>
          <w:rFonts w:ascii="GHEA Grapalat" w:hAnsi="GHEA Grapalat"/>
          <w:color w:val="000000"/>
        </w:rPr>
        <w:t>մասի</w:t>
      </w:r>
      <w:proofErr w:type="spellEnd"/>
      <w:r w:rsidRPr="002F4B1D">
        <w:rPr>
          <w:rFonts w:ascii="GHEA Grapalat" w:hAnsi="GHEA Grapalat"/>
          <w:color w:val="000000"/>
        </w:rPr>
        <w:t xml:space="preserve"> 18-րդ </w:t>
      </w:r>
      <w:proofErr w:type="spellStart"/>
      <w:r w:rsidRPr="002F4B1D">
        <w:rPr>
          <w:rFonts w:ascii="GHEA Grapalat" w:hAnsi="GHEA Grapalat"/>
          <w:color w:val="000000"/>
        </w:rPr>
        <w:t>կետի</w:t>
      </w:r>
      <w:proofErr w:type="spellEnd"/>
      <w:r w:rsidRPr="002F4B1D">
        <w:rPr>
          <w:rFonts w:ascii="GHEA Grapalat" w:hAnsi="GHEA Grapalat"/>
          <w:color w:val="000000"/>
        </w:rPr>
        <w:t xml:space="preserve">, 86-րդ </w:t>
      </w:r>
      <w:proofErr w:type="spellStart"/>
      <w:r w:rsidRPr="002F4B1D">
        <w:rPr>
          <w:rFonts w:ascii="GHEA Grapalat" w:hAnsi="GHEA Grapalat"/>
          <w:color w:val="000000"/>
        </w:rPr>
        <w:t>հոդվածի</w:t>
      </w:r>
      <w:proofErr w:type="spellEnd"/>
      <w:r w:rsidRPr="002F4B1D">
        <w:rPr>
          <w:rFonts w:ascii="GHEA Grapalat" w:hAnsi="GHEA Grapalat"/>
          <w:color w:val="000000"/>
        </w:rPr>
        <w:t>, «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և «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բյուջետային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համակարգի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28</w:t>
      </w:r>
      <w:r w:rsidRPr="002F4B1D">
        <w:rPr>
          <w:rFonts w:ascii="GHEA Grapalat" w:hAnsi="GHEA Grapalat"/>
          <w:color w:val="000000"/>
          <w:vertAlign w:val="superscript"/>
        </w:rPr>
        <w:t>1</w:t>
      </w:r>
      <w:r w:rsidRPr="002F4B1D">
        <w:rPr>
          <w:rFonts w:ascii="GHEA Grapalat" w:hAnsi="GHEA Grapalat"/>
          <w:color w:val="000000"/>
        </w:rPr>
        <w:t xml:space="preserve">-րդ </w:t>
      </w:r>
      <w:proofErr w:type="spellStart"/>
      <w:r w:rsidRPr="002F4B1D">
        <w:rPr>
          <w:rFonts w:ascii="GHEA Grapalat" w:hAnsi="GHEA Grapalat"/>
          <w:color w:val="000000"/>
        </w:rPr>
        <w:t>հոդվածի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պահանջներով</w:t>
      </w:r>
      <w:proofErr w:type="spellEnd"/>
      <w:r w:rsidRPr="002F4B1D">
        <w:rPr>
          <w:rFonts w:ascii="GHEA Grapalat" w:hAnsi="GHEA Grapalat"/>
          <w:color w:val="000000"/>
        </w:rPr>
        <w:t>: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Fonts w:ascii="Calibri" w:hAnsi="Calibri" w:cs="Calibri"/>
          <w:color w:val="000000"/>
        </w:rPr>
        <w:t> 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Style w:val="a6"/>
          <w:rFonts w:ascii="GHEA Grapalat" w:hAnsi="GHEA Grapalat"/>
          <w:b/>
          <w:bCs/>
          <w:color w:val="000000"/>
        </w:rPr>
        <w:t>ԱՌԿԱ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ԻՐԱՎԻՃԱԿԸ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t>Որոշման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նախագծով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սահմանվում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են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ձևավորման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աղբյուր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հանդիսացող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դրույքաչափեր</w:t>
      </w:r>
      <w:proofErr w:type="spellEnd"/>
      <w:r w:rsidRPr="002F4B1D">
        <w:rPr>
          <w:rFonts w:ascii="GHEA Grapalat" w:hAnsi="GHEA Grapalat"/>
          <w:color w:val="000000"/>
        </w:rPr>
        <w:t xml:space="preserve">՝ </w:t>
      </w:r>
      <w:proofErr w:type="spellStart"/>
      <w:r w:rsidRPr="002F4B1D">
        <w:rPr>
          <w:rFonts w:ascii="GHEA Grapalat" w:hAnsi="GHEA Grapalat"/>
          <w:color w:val="000000"/>
        </w:rPr>
        <w:t>հիմք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ընդունելով</w:t>
      </w:r>
      <w:proofErr w:type="spellEnd"/>
      <w:r w:rsidRPr="002F4B1D">
        <w:rPr>
          <w:rFonts w:ascii="GHEA Grapalat" w:hAnsi="GHEA Grapalat"/>
          <w:color w:val="000000"/>
        </w:rPr>
        <w:t xml:space="preserve"> «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ու</w:t>
      </w:r>
      <w:proofErr w:type="spellEnd"/>
      <w:r w:rsidRPr="002F4B1D">
        <w:rPr>
          <w:rFonts w:ascii="GHEA Grapalat" w:hAnsi="GHEA Grapalat"/>
          <w:color w:val="000000"/>
        </w:rPr>
        <w:t xml:space="preserve"> «</w:t>
      </w:r>
      <w:proofErr w:type="spellStart"/>
      <w:r w:rsidRPr="002F4B1D">
        <w:rPr>
          <w:rFonts w:ascii="GHEA Grapalat" w:hAnsi="GHEA Grapalat"/>
          <w:color w:val="000000"/>
        </w:rPr>
        <w:t>Աղբահանության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սանիտարական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մաքրման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պահանջները</w:t>
      </w:r>
      <w:proofErr w:type="spellEnd"/>
      <w:r w:rsidRPr="002F4B1D">
        <w:rPr>
          <w:rFonts w:ascii="GHEA Grapalat" w:hAnsi="GHEA Grapalat"/>
          <w:color w:val="000000"/>
        </w:rPr>
        <w:t>: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Style w:val="a6"/>
          <w:rFonts w:ascii="GHEA Grapalat" w:hAnsi="GHEA Grapalat"/>
          <w:b/>
          <w:bCs/>
          <w:color w:val="000000"/>
        </w:rPr>
        <w:t>ԿԱՐԳԱՎՈՐՄԱՆ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ՆՊԱՏԱԿԸ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t>Որոշման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նախագծի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ընդունման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նպատակն</w:t>
      </w:r>
      <w:proofErr w:type="spellEnd"/>
      <w:r w:rsidRPr="002F4B1D">
        <w:rPr>
          <w:rFonts w:ascii="GHEA Grapalat" w:hAnsi="GHEA Grapalat"/>
          <w:color w:val="000000"/>
        </w:rPr>
        <w:t xml:space="preserve"> է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ինքնակառավարման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մարմինների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սեփական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լիազորությունների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իրականացմամբ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պայմանավորված</w:t>
      </w:r>
      <w:proofErr w:type="spellEnd"/>
      <w:r w:rsidRPr="002F4B1D">
        <w:rPr>
          <w:rFonts w:ascii="GHEA Grapalat" w:hAnsi="GHEA Grapalat"/>
          <w:color w:val="000000"/>
        </w:rPr>
        <w:t xml:space="preserve">՝ </w:t>
      </w:r>
      <w:proofErr w:type="spellStart"/>
      <w:r w:rsidRPr="002F4B1D">
        <w:rPr>
          <w:rFonts w:ascii="GHEA Grapalat" w:hAnsi="GHEA Grapalat"/>
          <w:color w:val="000000"/>
        </w:rPr>
        <w:t>օրենքով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սահմանված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գործողությունների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վճարվող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ինքնակառավարման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մարմինների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սեփական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լիազորությունների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շրջանակներում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կամ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պատվերով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մատուցած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ծառայությունների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կամ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բաղկացուցիչ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կազմող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համաձայն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բացված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արտաբյուջետային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միջոցների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հաշվին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վճարվող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գանձման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ապահովումը</w:t>
      </w:r>
      <w:proofErr w:type="spellEnd"/>
      <w:r w:rsidRPr="002F4B1D">
        <w:rPr>
          <w:rFonts w:ascii="GHEA Grapalat" w:hAnsi="GHEA Grapalat"/>
          <w:color w:val="000000"/>
        </w:rPr>
        <w:t>: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Style w:val="a6"/>
          <w:rFonts w:ascii="GHEA Grapalat" w:hAnsi="GHEA Grapalat"/>
          <w:b/>
          <w:bCs/>
          <w:color w:val="000000"/>
        </w:rPr>
        <w:t>ԱԿՆԿԱԼՎՈՂ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ԱՐԴՅՈՒՆՔԸ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t>Որոշման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նախագծի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ընդունման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արդյունքում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հնարավոր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կլինի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ինքնակառավարման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մարմինների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սեփական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լիազորությունների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շրջանակներում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իրականացրած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գործողությունների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կամ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պատվերով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մատուցած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ծառայությունների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դիմաց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իրականացնել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համայնքի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բյուջեի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եկամուտների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մաս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proofErr w:type="gramStart"/>
      <w:r w:rsidRPr="002F4B1D">
        <w:rPr>
          <w:rFonts w:ascii="GHEA Grapalat" w:hAnsi="GHEA Grapalat"/>
          <w:color w:val="000000"/>
        </w:rPr>
        <w:t>կազմող</w:t>
      </w:r>
      <w:proofErr w:type="spellEnd"/>
      <w:r w:rsidRPr="002F4B1D">
        <w:rPr>
          <w:rFonts w:ascii="Calibri" w:hAnsi="Calibri" w:cs="Calibri"/>
          <w:color w:val="000000"/>
        </w:rPr>
        <w:t> 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տեղական</w:t>
      </w:r>
      <w:proofErr w:type="spellEnd"/>
      <w:proofErr w:type="gram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տուրքերի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r w:rsidRPr="002F4B1D">
        <w:rPr>
          <w:rFonts w:ascii="GHEA Grapalat" w:hAnsi="GHEA Grapalat" w:cs="GHEA Grapalat"/>
          <w:color w:val="000000"/>
        </w:rPr>
        <w:t>և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տեղական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վճարների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գանձումը</w:t>
      </w:r>
      <w:proofErr w:type="spellEnd"/>
      <w:r w:rsidRPr="002F4B1D">
        <w:rPr>
          <w:rFonts w:ascii="GHEA Grapalat" w:hAnsi="GHEA Grapalat"/>
          <w:color w:val="000000"/>
        </w:rPr>
        <w:t>: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Style w:val="a6"/>
          <w:rFonts w:ascii="GHEA Grapalat" w:hAnsi="GHEA Grapalat"/>
          <w:b/>
          <w:bCs/>
          <w:color w:val="000000"/>
        </w:rPr>
        <w:t>ԱԿՏԻ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ՆՈՐՄԱՏԻՎ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ԲՆՈՒՅԹԻ</w:t>
      </w:r>
      <w:r w:rsidRPr="002F4B1D">
        <w:rPr>
          <w:rFonts w:ascii="Calibri" w:hAnsi="Calibri" w:cs="Calibri"/>
          <w:color w:val="000000"/>
        </w:rPr>
        <w:t> </w:t>
      </w:r>
      <w:r w:rsidRPr="002F4B1D">
        <w:rPr>
          <w:rStyle w:val="a6"/>
          <w:rFonts w:ascii="GHEA Grapalat" w:hAnsi="GHEA Grapalat"/>
          <w:b/>
          <w:bCs/>
          <w:color w:val="000000"/>
        </w:rPr>
        <w:t>ՀԻՄՆԱՎՈՐՎԱԾՈՒԹՅՈՒՆԸ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lastRenderedPageBreak/>
        <w:t>Ընդունվող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ակտը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նորմատիվ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բնույթի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իրավական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ակտ</w:t>
      </w:r>
      <w:proofErr w:type="spellEnd"/>
      <w:r w:rsidRPr="002F4B1D">
        <w:rPr>
          <w:rFonts w:ascii="GHEA Grapalat" w:hAnsi="GHEA Grapalat"/>
          <w:color w:val="000000"/>
        </w:rPr>
        <w:t xml:space="preserve"> է, </w:t>
      </w:r>
      <w:proofErr w:type="spellStart"/>
      <w:r w:rsidRPr="002F4B1D">
        <w:rPr>
          <w:rFonts w:ascii="GHEA Grapalat" w:hAnsi="GHEA Grapalat"/>
          <w:color w:val="000000"/>
        </w:rPr>
        <w:t>քանի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որ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համաձայն</w:t>
      </w:r>
      <w:proofErr w:type="spellEnd"/>
      <w:r w:rsidRPr="002F4B1D">
        <w:rPr>
          <w:rFonts w:ascii="GHEA Grapalat" w:hAnsi="GHEA Grapalat"/>
          <w:color w:val="000000"/>
        </w:rPr>
        <w:t xml:space="preserve"> «</w:t>
      </w:r>
      <w:proofErr w:type="spellStart"/>
      <w:r w:rsidRPr="002F4B1D">
        <w:rPr>
          <w:rFonts w:ascii="GHEA Grapalat" w:hAnsi="GHEA Grapalat"/>
          <w:color w:val="000000"/>
        </w:rPr>
        <w:t>Նորմատիվ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իրավական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ակտերի</w:t>
      </w:r>
      <w:proofErr w:type="spellEnd"/>
      <w:r w:rsidRPr="002F4B1D">
        <w:rPr>
          <w:rFonts w:ascii="GHEA Grapalat" w:hAnsi="GHEA Grapalat"/>
          <w:color w:val="000000"/>
        </w:rPr>
        <w:t xml:space="preserve">» </w:t>
      </w:r>
      <w:proofErr w:type="spellStart"/>
      <w:r w:rsidRPr="002F4B1D">
        <w:rPr>
          <w:rFonts w:ascii="GHEA Grapalat" w:hAnsi="GHEA Grapalat"/>
          <w:color w:val="000000"/>
        </w:rPr>
        <w:t>մասին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Հայաստանի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Հանրապետության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օրենքի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r w:rsidRPr="002F4B1D">
        <w:rPr>
          <w:rFonts w:ascii="Calibri" w:hAnsi="Calibri" w:cs="Calibri"/>
          <w:color w:val="000000"/>
        </w:rPr>
        <w:t>   </w:t>
      </w:r>
      <w:r w:rsidRPr="002F4B1D">
        <w:rPr>
          <w:rFonts w:ascii="GHEA Grapalat" w:hAnsi="GHEA Grapalat"/>
          <w:color w:val="000000"/>
        </w:rPr>
        <w:t>2-</w:t>
      </w:r>
      <w:r w:rsidRPr="002F4B1D">
        <w:rPr>
          <w:rFonts w:ascii="GHEA Grapalat" w:hAnsi="GHEA Grapalat" w:cs="GHEA Grapalat"/>
          <w:color w:val="000000"/>
        </w:rPr>
        <w:t>րդ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հոդվածի</w:t>
      </w:r>
      <w:proofErr w:type="spellEnd"/>
      <w:r w:rsidRPr="002F4B1D">
        <w:rPr>
          <w:rFonts w:ascii="GHEA Grapalat" w:hAnsi="GHEA Grapalat"/>
          <w:color w:val="000000"/>
        </w:rPr>
        <w:t xml:space="preserve"> 1-</w:t>
      </w:r>
      <w:r w:rsidRPr="002F4B1D">
        <w:rPr>
          <w:rFonts w:ascii="GHEA Grapalat" w:hAnsi="GHEA Grapalat" w:cs="GHEA Grapalat"/>
          <w:color w:val="000000"/>
        </w:rPr>
        <w:t>ին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մասի</w:t>
      </w:r>
      <w:proofErr w:type="spellEnd"/>
      <w:r w:rsidRPr="002F4B1D">
        <w:rPr>
          <w:rFonts w:ascii="GHEA Grapalat" w:hAnsi="GHEA Grapalat"/>
          <w:color w:val="000000"/>
        </w:rPr>
        <w:t xml:space="preserve"> 1-</w:t>
      </w:r>
      <w:r w:rsidRPr="002F4B1D">
        <w:rPr>
          <w:rFonts w:ascii="GHEA Grapalat" w:hAnsi="GHEA Grapalat" w:cs="GHEA Grapalat"/>
          <w:color w:val="000000"/>
        </w:rPr>
        <w:t>ին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կետի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 w:cs="GHEA Grapalat"/>
          <w:color w:val="000000"/>
        </w:rPr>
        <w:t>պարունակում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r w:rsidRPr="002F4B1D">
        <w:rPr>
          <w:rFonts w:ascii="GHEA Grapalat" w:hAnsi="GHEA Grapalat" w:cs="GHEA Grapalat"/>
          <w:color w:val="000000"/>
        </w:rPr>
        <w:t>է</w:t>
      </w:r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վարքագծի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պարտադիր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կանոններ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անորոշ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թվով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անձանց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 w:cs="GHEA Grapalat"/>
          <w:color w:val="000000"/>
        </w:rPr>
        <w:t>համար</w:t>
      </w:r>
      <w:proofErr w:type="spellEnd"/>
      <w:r w:rsidRPr="002F4B1D">
        <w:rPr>
          <w:rFonts w:ascii="GHEA Grapalat" w:hAnsi="GHEA Grapalat"/>
          <w:color w:val="000000"/>
        </w:rPr>
        <w:t>: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proofErr w:type="spellStart"/>
      <w:r w:rsidRPr="002F4B1D">
        <w:rPr>
          <w:rFonts w:ascii="GHEA Grapalat" w:hAnsi="GHEA Grapalat"/>
          <w:color w:val="000000"/>
        </w:rPr>
        <w:t>Սույն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որոշման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նախագծի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մշակման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գործընթացում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ներգրավված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ստորաբաժանումներն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ու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անձինք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են</w:t>
      </w:r>
      <w:proofErr w:type="spellEnd"/>
      <w:r w:rsidRPr="002F4B1D">
        <w:rPr>
          <w:rFonts w:ascii="GHEA Grapalat" w:hAnsi="GHEA Grapalat"/>
          <w:color w:val="000000"/>
        </w:rPr>
        <w:t>.</w:t>
      </w:r>
    </w:p>
    <w:p w:rsidR="002F4B1D" w:rsidRPr="002F4B1D" w:rsidRDefault="002F4B1D" w:rsidP="002F4B1D">
      <w:pPr>
        <w:pStyle w:val="a5"/>
        <w:rPr>
          <w:rFonts w:ascii="GHEA Grapalat" w:hAnsi="GHEA Grapalat"/>
          <w:color w:val="000000"/>
        </w:rPr>
      </w:pPr>
      <w:r w:rsidRPr="002F4B1D">
        <w:rPr>
          <w:rFonts w:ascii="GHEA Grapalat" w:hAnsi="GHEA Grapalat"/>
          <w:color w:val="000000"/>
        </w:rPr>
        <w:t xml:space="preserve">1.Սպիտակի </w:t>
      </w:r>
      <w:proofErr w:type="spellStart"/>
      <w:r w:rsidRPr="002F4B1D">
        <w:rPr>
          <w:rFonts w:ascii="GHEA Grapalat" w:hAnsi="GHEA Grapalat"/>
          <w:color w:val="000000"/>
        </w:rPr>
        <w:t>համայնքապետարանի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աշխատակազմի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ֆինանսատնտեսագիտական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եկամուտների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հաշվառման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հավաքագրման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գնումների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գովազդի</w:t>
      </w:r>
      <w:proofErr w:type="spellEnd"/>
      <w:r w:rsidRPr="002F4B1D">
        <w:rPr>
          <w:rFonts w:ascii="GHEA Grapalat" w:hAnsi="GHEA Grapalat"/>
          <w:color w:val="000000"/>
        </w:rPr>
        <w:t xml:space="preserve">, </w:t>
      </w:r>
      <w:proofErr w:type="spellStart"/>
      <w:r w:rsidRPr="002F4B1D">
        <w:rPr>
          <w:rFonts w:ascii="GHEA Grapalat" w:hAnsi="GHEA Grapalat"/>
          <w:color w:val="000000"/>
        </w:rPr>
        <w:t>առևտրի</w:t>
      </w:r>
      <w:proofErr w:type="spellEnd"/>
      <w:r w:rsidRPr="002F4B1D">
        <w:rPr>
          <w:rFonts w:ascii="GHEA Grapalat" w:hAnsi="GHEA Grapalat"/>
          <w:color w:val="000000"/>
        </w:rPr>
        <w:t xml:space="preserve"> և </w:t>
      </w:r>
      <w:proofErr w:type="spellStart"/>
      <w:r w:rsidRPr="002F4B1D">
        <w:rPr>
          <w:rFonts w:ascii="GHEA Grapalat" w:hAnsi="GHEA Grapalat"/>
          <w:color w:val="000000"/>
        </w:rPr>
        <w:t>սպասարկման</w:t>
      </w:r>
      <w:proofErr w:type="spellEnd"/>
      <w:r w:rsidRPr="002F4B1D">
        <w:rPr>
          <w:rFonts w:ascii="GHEA Grapalat" w:hAnsi="GHEA Grapalat"/>
          <w:color w:val="000000"/>
        </w:rPr>
        <w:t xml:space="preserve"> </w:t>
      </w:r>
      <w:proofErr w:type="spellStart"/>
      <w:r w:rsidRPr="002F4B1D">
        <w:rPr>
          <w:rFonts w:ascii="GHEA Grapalat" w:hAnsi="GHEA Grapalat"/>
          <w:color w:val="000000"/>
        </w:rPr>
        <w:t>բաժին</w:t>
      </w:r>
      <w:proofErr w:type="spellEnd"/>
    </w:p>
    <w:p w:rsidR="00AA6C57" w:rsidRPr="002F4B1D" w:rsidRDefault="00AA6C57" w:rsidP="005E318C">
      <w:pPr>
        <w:jc w:val="center"/>
        <w:rPr>
          <w:rFonts w:ascii="GHEA Grapalat" w:hAnsi="GHEA Grapalat"/>
          <w:sz w:val="24"/>
          <w:szCs w:val="24"/>
        </w:rPr>
      </w:pPr>
    </w:p>
    <w:p w:rsidR="00AA6C57" w:rsidRPr="002F4B1D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2F4B1D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2F4B1D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FF5A7A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FF5A7A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FF5A7A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FF5A7A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5054E" w:rsidRPr="00FF5A7A" w:rsidRDefault="0055054E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AA6C57" w:rsidRPr="00FF5A7A" w:rsidRDefault="00AA6C57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5E318C" w:rsidRDefault="005E318C" w:rsidP="005E318C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ՏԵՂԵԿԱՆՔ</w:t>
      </w:r>
    </w:p>
    <w:p w:rsidR="005E318C" w:rsidRDefault="005E318C" w:rsidP="005E318C">
      <w:pPr>
        <w:spacing w:after="0" w:line="0" w:lineRule="atLeast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>ՍՊԻՏԱԿ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ԱՎԱԳԱՆՈՒ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ՍՊԻՏԱԿ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ՀԱՄԱՅՆՔ</w:t>
      </w:r>
      <w:r w:rsidR="00DB05D3" w:rsidRPr="00DF5BA5">
        <w:rPr>
          <w:rFonts w:ascii="GHEA Grapalat" w:hAnsi="GHEA Grapalat" w:cs="Sylfaen"/>
          <w:sz w:val="24"/>
          <w:szCs w:val="24"/>
        </w:rPr>
        <w:t>ՈՒՄ</w:t>
      </w:r>
      <w:r w:rsidR="004D4A72">
        <w:rPr>
          <w:rFonts w:ascii="GHEA Grapalat" w:hAnsi="GHEA Grapalat" w:cs="Sylfaen"/>
          <w:sz w:val="24"/>
          <w:szCs w:val="24"/>
          <w:lang w:val="af-ZA"/>
        </w:rPr>
        <w:t xml:space="preserve"> 2023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ՏԵՂԱԿԱՆ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ՏՈՒՐՔԵՐԻ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ԵՎ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ՎՃԱՐՆԵՐԻ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ԴՐՈՒՅՔԱՉԱՓԵՐԸ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</w:rPr>
        <w:t>ՍԱՀՄԱՆԵԼՈՒ</w:t>
      </w:r>
      <w:r w:rsidR="00DB05D3" w:rsidRPr="00CE58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/>
          <w:sz w:val="24"/>
          <w:szCs w:val="24"/>
        </w:rPr>
        <w:t>ՈՐՈՇՄԱՆ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ՆԱԽԱԳԾԻ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ԿԱՊԱԿՑՈՒԹՅԱՄԲ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ԲՅՈՒՋԵՈՒՄ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ԾԱԽՍԵՐԻ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ԵԿԱՄՈՒՏՆԵՐԻ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ԱՎԵԼԱՑՈՒՄՆԵՐԻ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ՆՎԱԶԵՑՈՒՄՆԵՐԻ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</w:p>
    <w:p w:rsidR="005E318C" w:rsidRPr="005E318C" w:rsidRDefault="005E318C" w:rsidP="005E318C">
      <w:pPr>
        <w:spacing w:after="0" w:line="0" w:lineRule="atLeast"/>
        <w:jc w:val="center"/>
        <w:rPr>
          <w:rFonts w:ascii="GHEA Grapalat" w:hAnsi="GHEA Grapalat"/>
          <w:sz w:val="24"/>
          <w:szCs w:val="24"/>
          <w:lang w:val="hy-AM"/>
        </w:rPr>
      </w:pPr>
    </w:p>
    <w:p w:rsidR="005E318C" w:rsidRDefault="005E318C" w:rsidP="005E318C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F10F8">
        <w:rPr>
          <w:rFonts w:ascii="GHEA Grapalat" w:hAnsi="GHEA Grapalat"/>
          <w:sz w:val="24"/>
          <w:szCs w:val="24"/>
          <w:lang w:val="hy-AM"/>
        </w:rPr>
        <w:t>Սպիտակ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Սպիտակ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="004D4A72">
        <w:rPr>
          <w:rFonts w:ascii="GHEA Grapalat" w:hAnsi="GHEA Grapalat" w:cs="Sylfaen"/>
          <w:sz w:val="24"/>
          <w:szCs w:val="24"/>
          <w:lang w:val="af-ZA"/>
        </w:rPr>
        <w:t xml:space="preserve"> 2023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տեղական տուրքերի և վճարների դրույքաչափերը սահմանելու մասին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9F10F8">
        <w:rPr>
          <w:rFonts w:ascii="GHEA Grapalat" w:hAnsi="GHEA Grapalat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ընդունվելու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Սպիտակ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համայնքի</w:t>
      </w:r>
      <w:r w:rsidR="004D4A72">
        <w:rPr>
          <w:rFonts w:ascii="GHEA Grapalat" w:hAnsi="GHEA Grapalat"/>
          <w:sz w:val="24"/>
          <w:szCs w:val="24"/>
          <w:lang w:val="af-ZA"/>
        </w:rPr>
        <w:t xml:space="preserve"> 2022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բյուջեում եկամուտների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և ծախսերի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ավելացումներ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չեն նախատեսվում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5E318C" w:rsidRDefault="005E318C" w:rsidP="005E318C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5E318C" w:rsidRPr="009F10F8" w:rsidRDefault="005E318C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5E318C" w:rsidRPr="009F10F8" w:rsidRDefault="005E318C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5E318C" w:rsidRPr="009F10F8" w:rsidRDefault="005E318C" w:rsidP="00DB05D3">
      <w:pPr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A6C57" w:rsidRPr="00FF5A7A" w:rsidRDefault="00AA6C57" w:rsidP="005E318C">
      <w:pPr>
        <w:ind w:left="-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5E318C" w:rsidRDefault="005E318C" w:rsidP="005E318C">
      <w:pPr>
        <w:ind w:left="-567"/>
        <w:jc w:val="center"/>
        <w:rPr>
          <w:rFonts w:ascii="GHEA Grapalat" w:hAnsi="GHEA Grapalat"/>
          <w:sz w:val="24"/>
          <w:szCs w:val="24"/>
          <w:lang w:val="af-ZA"/>
        </w:rPr>
      </w:pPr>
      <w:r w:rsidRPr="009F10F8">
        <w:rPr>
          <w:rFonts w:ascii="GHEA Grapalat" w:hAnsi="GHEA Grapalat"/>
          <w:sz w:val="24"/>
          <w:szCs w:val="24"/>
          <w:lang w:val="hy-AM"/>
        </w:rPr>
        <w:t>ՏԵՂԵԿ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ԱՆՔ</w:t>
      </w:r>
    </w:p>
    <w:p w:rsidR="005E318C" w:rsidRDefault="005E318C" w:rsidP="005E318C">
      <w:pPr>
        <w:spacing w:after="0" w:line="0" w:lineRule="atLeast"/>
        <w:jc w:val="center"/>
        <w:rPr>
          <w:rFonts w:ascii="GHEA Grapalat" w:hAnsi="GHEA Grapalat"/>
          <w:sz w:val="24"/>
          <w:szCs w:val="24"/>
          <w:lang w:val="af-ZA"/>
        </w:rPr>
      </w:pPr>
      <w:r w:rsidRPr="009F10F8">
        <w:rPr>
          <w:rFonts w:ascii="GHEA Grapalat" w:hAnsi="GHEA Grapalat"/>
          <w:sz w:val="24"/>
          <w:szCs w:val="24"/>
          <w:lang w:val="hy-AM"/>
        </w:rPr>
        <w:t>ՍՊԻՏԱԿ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ՍՊԻՏԱԿ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="004D4A72">
        <w:rPr>
          <w:rFonts w:ascii="GHEA Grapalat" w:hAnsi="GHEA Grapalat" w:cs="Sylfaen"/>
          <w:sz w:val="24"/>
          <w:szCs w:val="24"/>
          <w:lang w:val="af-ZA"/>
        </w:rPr>
        <w:t xml:space="preserve"> 2023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 w:rsidRPr="009F10F8">
        <w:rPr>
          <w:rFonts w:ascii="GHEA Grapalat" w:hAnsi="GHEA Grapalat" w:cs="Sylfaen"/>
          <w:sz w:val="24"/>
          <w:szCs w:val="24"/>
          <w:lang w:val="hy-AM"/>
        </w:rPr>
        <w:t>ՏԵՂԱԿԱՆ ՏՈՒՐՔԵՐԻ ԵՎ ՎՃԱՐՆԵՐԻ ԴՐՈՒՅՔԱՉԱՓԵՐԸ ՍԱՀՄԱՆԵԼՈՒ ՄԱՍԻՆ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9F10F8">
        <w:rPr>
          <w:rFonts w:ascii="GHEA Grapalat" w:hAnsi="GHEA Grapalat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ԱՆՀՐԱԺԵՇՏՈՒԹՅԱՆ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ԲԱՑԱԿԱՅՈՒԹՅԱՆ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hy-AM"/>
        </w:rPr>
        <w:t>ՄԱՍԻՆ</w:t>
      </w:r>
    </w:p>
    <w:p w:rsidR="005E318C" w:rsidRDefault="005E318C" w:rsidP="005E318C">
      <w:pPr>
        <w:spacing w:after="0" w:line="0" w:lineRule="atLeast"/>
        <w:jc w:val="center"/>
        <w:rPr>
          <w:rFonts w:ascii="GHEA Grapalat" w:hAnsi="GHEA Grapalat"/>
          <w:sz w:val="24"/>
          <w:szCs w:val="24"/>
          <w:lang w:val="af-ZA"/>
        </w:rPr>
      </w:pPr>
    </w:p>
    <w:p w:rsidR="005E318C" w:rsidRDefault="005E318C" w:rsidP="005E318C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Սպիտակ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10F8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="00DB05D3">
        <w:rPr>
          <w:rFonts w:ascii="GHEA Grapalat" w:hAnsi="GHEA Grapalat" w:cs="Sylfaen"/>
          <w:sz w:val="24"/>
          <w:szCs w:val="24"/>
          <w:lang w:val="en-US"/>
        </w:rPr>
        <w:t>Ս</w:t>
      </w:r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պիտակ</w:t>
      </w:r>
      <w:proofErr w:type="spellEnd"/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համայնք</w:t>
      </w:r>
      <w:r w:rsidR="00DB05D3" w:rsidRPr="00DF5BA5">
        <w:rPr>
          <w:rFonts w:ascii="GHEA Grapalat" w:hAnsi="GHEA Grapalat" w:cs="Sylfaen"/>
          <w:sz w:val="24"/>
          <w:szCs w:val="24"/>
        </w:rPr>
        <w:t>ում</w:t>
      </w:r>
      <w:proofErr w:type="spellEnd"/>
      <w:r w:rsidR="004D4A72">
        <w:rPr>
          <w:rFonts w:ascii="GHEA Grapalat" w:hAnsi="GHEA Grapalat" w:cs="Sylfaen"/>
          <w:sz w:val="24"/>
          <w:szCs w:val="24"/>
          <w:lang w:val="af-ZA"/>
        </w:rPr>
        <w:t xml:space="preserve"> 2023</w:t>
      </w:r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="00DB05D3" w:rsidRPr="00DF5B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</w:rPr>
        <w:t>տուրքերի</w:t>
      </w:r>
      <w:proofErr w:type="spellEnd"/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B05D3">
        <w:rPr>
          <w:rFonts w:ascii="GHEA Grapalat" w:hAnsi="GHEA Grapalat" w:cs="Sylfaen"/>
          <w:sz w:val="24"/>
          <w:szCs w:val="24"/>
          <w:lang w:val="en-US"/>
        </w:rPr>
        <w:t>և</w:t>
      </w:r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</w:rPr>
        <w:t>վճարների</w:t>
      </w:r>
      <w:proofErr w:type="spellEnd"/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</w:rPr>
        <w:t>դրույքաչափերը</w:t>
      </w:r>
      <w:proofErr w:type="spellEnd"/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</w:rPr>
        <w:t>սահմանելու</w:t>
      </w:r>
      <w:proofErr w:type="spellEnd"/>
      <w:r w:rsidR="00DB05D3" w:rsidRPr="009F10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B05D3" w:rsidRPr="00DF5BA5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ընդունվելու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ընդունելու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ակտերում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af-ZA"/>
        </w:rPr>
        <w:t>:</w:t>
      </w:r>
    </w:p>
    <w:p w:rsidR="005E318C" w:rsidRPr="009F10F8" w:rsidRDefault="005E318C">
      <w:pPr>
        <w:rPr>
          <w:lang w:val="af-ZA"/>
        </w:rPr>
      </w:pPr>
    </w:p>
    <w:sectPr w:rsidR="005E318C" w:rsidRPr="009F10F8" w:rsidSect="00B1635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E57"/>
    <w:rsid w:val="00070E57"/>
    <w:rsid w:val="000A328C"/>
    <w:rsid w:val="000F1C2C"/>
    <w:rsid w:val="00141109"/>
    <w:rsid w:val="001842A3"/>
    <w:rsid w:val="001C2290"/>
    <w:rsid w:val="00223A2E"/>
    <w:rsid w:val="00234050"/>
    <w:rsid w:val="00243F3D"/>
    <w:rsid w:val="002F4B1D"/>
    <w:rsid w:val="00340CDA"/>
    <w:rsid w:val="003A2D3A"/>
    <w:rsid w:val="00473CC4"/>
    <w:rsid w:val="004A6C86"/>
    <w:rsid w:val="004D1F45"/>
    <w:rsid w:val="004D4A72"/>
    <w:rsid w:val="0055054E"/>
    <w:rsid w:val="00566360"/>
    <w:rsid w:val="005915BF"/>
    <w:rsid w:val="005930C2"/>
    <w:rsid w:val="005E318C"/>
    <w:rsid w:val="007120FF"/>
    <w:rsid w:val="00793555"/>
    <w:rsid w:val="007A3BF7"/>
    <w:rsid w:val="007A5389"/>
    <w:rsid w:val="0094005F"/>
    <w:rsid w:val="00940598"/>
    <w:rsid w:val="00953A05"/>
    <w:rsid w:val="00974B38"/>
    <w:rsid w:val="00992D53"/>
    <w:rsid w:val="009F10F8"/>
    <w:rsid w:val="009F14CE"/>
    <w:rsid w:val="00AA6C57"/>
    <w:rsid w:val="00AC3EE9"/>
    <w:rsid w:val="00AE5734"/>
    <w:rsid w:val="00B03A18"/>
    <w:rsid w:val="00B16359"/>
    <w:rsid w:val="00B9231E"/>
    <w:rsid w:val="00B930D6"/>
    <w:rsid w:val="00BB5153"/>
    <w:rsid w:val="00C552D8"/>
    <w:rsid w:val="00CB7073"/>
    <w:rsid w:val="00CE58A9"/>
    <w:rsid w:val="00D21DE5"/>
    <w:rsid w:val="00D507FA"/>
    <w:rsid w:val="00D90010"/>
    <w:rsid w:val="00DB05D3"/>
    <w:rsid w:val="00DF5BA5"/>
    <w:rsid w:val="00E1604F"/>
    <w:rsid w:val="00EC5FFF"/>
    <w:rsid w:val="00F207EA"/>
    <w:rsid w:val="00F60096"/>
    <w:rsid w:val="00F864E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A5F1E-06E5-4517-9B8D-2709952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10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4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F4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User-1</cp:lastModifiedBy>
  <cp:revision>33</cp:revision>
  <cp:lastPrinted>2022-11-24T10:50:00Z</cp:lastPrinted>
  <dcterms:created xsi:type="dcterms:W3CDTF">2018-10-30T09:46:00Z</dcterms:created>
  <dcterms:modified xsi:type="dcterms:W3CDTF">2024-10-14T13:59:00Z</dcterms:modified>
</cp:coreProperties>
</file>