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5CA8" w14:textId="77777777" w:rsidR="002B4D1B" w:rsidRPr="00BF6DDE" w:rsidRDefault="002B4D1B" w:rsidP="00104F3E">
      <w:pPr>
        <w:shd w:val="clear" w:color="auto" w:fill="FFFFFF"/>
        <w:spacing w:after="0" w:line="240" w:lineRule="auto"/>
        <w:jc w:val="center"/>
        <w:textAlignment w:val="baseline"/>
        <w:rPr>
          <w:rFonts w:ascii="GHEA Grapalat" w:eastAsia="Times New Roman" w:hAnsi="GHEA Grapalat" w:cs="Times New Roman"/>
          <w:b/>
          <w:sz w:val="24"/>
          <w:szCs w:val="24"/>
        </w:rPr>
      </w:pPr>
      <w:r w:rsidRPr="00BF6DDE">
        <w:rPr>
          <w:rFonts w:ascii="GHEA Grapalat" w:eastAsia="Times New Roman" w:hAnsi="GHEA Grapalat" w:cs="Times New Roman"/>
          <w:b/>
          <w:bCs/>
          <w:sz w:val="24"/>
          <w:szCs w:val="24"/>
        </w:rPr>
        <w:t>ՀԻՄՆԱՎՈՐՈՒՄ</w:t>
      </w:r>
    </w:p>
    <w:p w14:paraId="608C64DB" w14:textId="77777777" w:rsidR="005B154C" w:rsidRPr="00BF6DDE" w:rsidRDefault="005B154C" w:rsidP="00104F3E">
      <w:pPr>
        <w:widowControl w:val="0"/>
        <w:adjustRightInd w:val="0"/>
        <w:spacing w:after="0"/>
        <w:jc w:val="center"/>
        <w:textAlignment w:val="baseline"/>
        <w:rPr>
          <w:rFonts w:ascii="GHEA Grapalat" w:hAnsi="GHEA Grapalat" w:cs="Sylfaen"/>
          <w:b/>
          <w:sz w:val="24"/>
          <w:szCs w:val="24"/>
          <w:lang w:val="af-ZA"/>
        </w:rPr>
      </w:pPr>
    </w:p>
    <w:p w14:paraId="05061EDF" w14:textId="2A606417" w:rsidR="00884695" w:rsidRPr="00BF6DDE" w:rsidRDefault="00884695" w:rsidP="00104F3E">
      <w:pPr>
        <w:widowControl w:val="0"/>
        <w:adjustRightInd w:val="0"/>
        <w:spacing w:after="0"/>
        <w:jc w:val="center"/>
        <w:textAlignment w:val="baseline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BF6DDE">
        <w:rPr>
          <w:rFonts w:ascii="GHEA Grapalat" w:hAnsi="GHEA Grapalat" w:cs="Sylfaen"/>
          <w:b/>
          <w:sz w:val="24"/>
          <w:szCs w:val="24"/>
          <w:lang w:val="af-ZA"/>
        </w:rPr>
        <w:t>«</w:t>
      </w:r>
      <w:r w:rsidR="00AF597A" w:rsidRPr="00BF6DDE">
        <w:rPr>
          <w:rFonts w:ascii="GHEA Grapalat" w:hAnsi="GHEA Grapalat" w:cs="Sylfaen"/>
          <w:b/>
          <w:sz w:val="24"/>
          <w:szCs w:val="24"/>
          <w:lang w:val="af-ZA"/>
        </w:rPr>
        <w:t>ՀԱՅԱՍՏԱՆԻ ՀԱՆՐԱՊԵՏՈՒԹՅԱՆ ԿԱՌԱՎԱՐՈՒԹՅԱՆ 2019 ԹՎԱԿԱՆԻ ՄԱՅԻՍԻ</w:t>
      </w:r>
      <w:r w:rsidR="00104F3E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AF597A" w:rsidRPr="00BF6DDE">
        <w:rPr>
          <w:rFonts w:ascii="GHEA Grapalat" w:hAnsi="GHEA Grapalat" w:cs="Sylfaen"/>
          <w:b/>
          <w:sz w:val="24"/>
          <w:szCs w:val="24"/>
          <w:lang w:val="af-ZA"/>
        </w:rPr>
        <w:t xml:space="preserve">30-Ի N 642-Ն ՈՐՈՇՄԱՆ ՄԵՋ </w:t>
      </w:r>
      <w:r w:rsidR="00EC7A39" w:rsidRPr="00BF6DDE">
        <w:rPr>
          <w:rFonts w:ascii="GHEA Grapalat" w:hAnsi="GHEA Grapalat" w:cs="Sylfaen"/>
          <w:b/>
          <w:sz w:val="24"/>
          <w:szCs w:val="24"/>
          <w:lang w:val="hy-AM"/>
        </w:rPr>
        <w:t xml:space="preserve">ՓՈՓՈԽՈՒԹՅՈՒՆ ԵՎ </w:t>
      </w:r>
      <w:r w:rsidR="00AF597A" w:rsidRPr="00BF6DDE">
        <w:rPr>
          <w:rFonts w:ascii="GHEA Grapalat" w:eastAsia="Calibri" w:hAnsi="GHEA Grapalat" w:cs="Times New Roman"/>
          <w:b/>
          <w:bCs/>
          <w:sz w:val="24"/>
          <w:szCs w:val="24"/>
          <w:lang w:val="hy-AM" w:eastAsia="en-US"/>
        </w:rPr>
        <w:t>ԼՐԱՑՈՒՄ</w:t>
      </w:r>
      <w:r w:rsidR="00AF597A" w:rsidRPr="00BF6DD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AF597A" w:rsidRPr="00BF6DDE">
        <w:rPr>
          <w:rFonts w:ascii="GHEA Grapalat" w:hAnsi="GHEA Grapalat" w:cs="Sylfaen"/>
          <w:b/>
          <w:sz w:val="24"/>
          <w:szCs w:val="24"/>
          <w:lang w:val="af-ZA"/>
        </w:rPr>
        <w:t xml:space="preserve">ԿԱՏԱՐԵԼՈՒ ՄԱՍԻՆ» </w:t>
      </w:r>
      <w:r w:rsidR="00F719F4" w:rsidRPr="00BF6DDE">
        <w:rPr>
          <w:rFonts w:ascii="GHEA Grapalat" w:hAnsi="GHEA Grapalat" w:cs="Sylfaen"/>
          <w:b/>
          <w:sz w:val="24"/>
          <w:szCs w:val="24"/>
          <w:lang w:val="af-ZA"/>
        </w:rPr>
        <w:t xml:space="preserve">ԿԱՌԱՎԱՐՈՒԹՅԱՆ ՈՐՈՇՄԱՆ </w:t>
      </w:r>
      <w:r w:rsidR="00E07895" w:rsidRPr="00BF6DDE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EC7A39" w:rsidRPr="00BF6DDE">
        <w:rPr>
          <w:rFonts w:ascii="GHEA Grapalat" w:eastAsia="Times New Roman" w:hAnsi="GHEA Grapalat" w:cs="GHEA Grapalat"/>
          <w:b/>
          <w:sz w:val="24"/>
          <w:szCs w:val="24"/>
          <w:lang w:val="af-ZA" w:eastAsia="en-US"/>
        </w:rPr>
        <w:t xml:space="preserve"> </w:t>
      </w:r>
      <w:r w:rsidR="00EC7A39" w:rsidRPr="00BF6DDE">
        <w:rPr>
          <w:rFonts w:ascii="GHEA Grapalat" w:hAnsi="GHEA Grapalat" w:cs="Sylfaen"/>
          <w:b/>
          <w:sz w:val="24"/>
          <w:szCs w:val="24"/>
          <w:lang w:val="af-ZA"/>
        </w:rPr>
        <w:t>ԸՆԴՈՒՆՄԱՆ</w:t>
      </w:r>
    </w:p>
    <w:p w14:paraId="56DB0769" w14:textId="0B975E6E" w:rsidR="00AF597A" w:rsidRPr="00BF6DDE" w:rsidRDefault="000523DE" w:rsidP="00104F3E">
      <w:pPr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F6DDE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</w:p>
    <w:p w14:paraId="2BB81C0A" w14:textId="77777777" w:rsidR="00083DED" w:rsidRPr="00195DD4" w:rsidRDefault="00626F37" w:rsidP="00104F3E">
      <w:pPr>
        <w:pStyle w:val="ListParagraph"/>
        <w:numPr>
          <w:ilvl w:val="0"/>
          <w:numId w:val="33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195DD4">
        <w:rPr>
          <w:rFonts w:ascii="GHEA Grapalat" w:hAnsi="GHEA Grapalat" w:cs="Sylfaen"/>
          <w:b/>
          <w:sz w:val="24"/>
          <w:szCs w:val="24"/>
          <w:u w:val="single"/>
          <w:lang w:val="hy-AM"/>
        </w:rPr>
        <w:t>Ընթացիկ</w:t>
      </w:r>
      <w:r w:rsidRPr="00195DD4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իրավիճակը և իրավական ակտի ընդունման անհրաժեշտությունը</w:t>
      </w:r>
      <w:r w:rsidR="00083DED" w:rsidRPr="00195DD4">
        <w:rPr>
          <w:rFonts w:ascii="GHEA Grapalat" w:hAnsi="GHEA Grapalat"/>
          <w:b/>
          <w:sz w:val="24"/>
          <w:szCs w:val="24"/>
          <w:u w:val="single"/>
          <w:lang w:val="hy-AM"/>
        </w:rPr>
        <w:t>.</w:t>
      </w:r>
    </w:p>
    <w:p w14:paraId="2EABF853" w14:textId="0A54210E" w:rsidR="003319A7" w:rsidRPr="00BF6DDE" w:rsidRDefault="00104F3E" w:rsidP="00104F3E">
      <w:pPr>
        <w:spacing w:after="0" w:line="360" w:lineRule="auto"/>
        <w:ind w:firstLine="851"/>
        <w:jc w:val="both"/>
        <w:textAlignment w:val="baseline"/>
        <w:rPr>
          <w:rFonts w:ascii="GHEA Grapalat" w:hAnsi="GHEA Grapalat"/>
          <w:bCs/>
          <w:iCs/>
          <w:color w:val="000000"/>
          <w:sz w:val="24"/>
          <w:szCs w:val="24"/>
          <w:lang w:val="hy-AM"/>
        </w:rPr>
      </w:pPr>
      <w:r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</w:t>
      </w:r>
      <w:r w:rsidR="00D55597" w:rsidRPr="00BF6DD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Նախագծով առաջարկվում է </w:t>
      </w:r>
      <w:r w:rsidR="003319A7" w:rsidRPr="00BF6DD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ներդնել դեղերի փոխհատուցման </w:t>
      </w:r>
      <w:r w:rsidR="00257F1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նոր </w:t>
      </w:r>
      <w:r w:rsidR="003319A7" w:rsidRPr="00BF6DD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մեխանիզմ: Մասնավորապես, նախատեսվում է </w:t>
      </w:r>
      <w:r w:rsidR="002909AF" w:rsidRPr="00BF6DD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Որոշման</w:t>
      </w:r>
      <w:r w:rsidR="003319A7" w:rsidRPr="00BF6DD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 մեջ կատարել լրացում հավելվածի տեսքով` համաձայն </w:t>
      </w:r>
      <w:r w:rsidR="002909AF" w:rsidRPr="00BF6DD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Հավելված N </w:t>
      </w:r>
      <w:r w:rsidR="00257F14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4-ի</w:t>
      </w:r>
      <w:r w:rsidR="003319A7" w:rsidRPr="00BF6DD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>:</w:t>
      </w:r>
    </w:p>
    <w:p w14:paraId="61B2D5D2" w14:textId="46664306" w:rsidR="00A03A0F" w:rsidRPr="00104F3E" w:rsidRDefault="003319A7" w:rsidP="00104F3E">
      <w:pPr>
        <w:spacing w:after="0" w:line="360" w:lineRule="auto"/>
        <w:ind w:firstLine="851"/>
        <w:jc w:val="both"/>
        <w:textAlignment w:val="baseline"/>
        <w:rPr>
          <w:rStyle w:val="rynqvb"/>
          <w:rFonts w:ascii="Roboto" w:hAnsi="Roboto"/>
          <w:color w:val="3C4043"/>
          <w:sz w:val="27"/>
          <w:szCs w:val="27"/>
          <w:shd w:val="clear" w:color="auto" w:fill="F5F5F5"/>
          <w:lang w:val="hy-AM"/>
        </w:rPr>
      </w:pPr>
      <w:r w:rsidRPr="00BF6DDE">
        <w:rPr>
          <w:rFonts w:ascii="GHEA Grapalat" w:hAnsi="GHEA Grapalat"/>
          <w:bCs/>
          <w:iCs/>
          <w:color w:val="000000"/>
          <w:sz w:val="24"/>
          <w:szCs w:val="24"/>
          <w:lang w:val="hy-AM"/>
        </w:rPr>
        <w:t xml:space="preserve">Ներկայումս շահառուները </w:t>
      </w:r>
      <w:r w:rsidRPr="00BF6DD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պետության կողմից երաշխավորված անվճար բժշկական օգնության ու սպասարկման շրջանակներում դեղերը ստանում </w:t>
      </w:r>
      <w:r w:rsidR="00257F14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են </w:t>
      </w:r>
      <w:r w:rsidRPr="00BF6DD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առողջության առաջնային պահպանման</w:t>
      </w:r>
      <w:r w:rsidR="00257F14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="00257F14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(ԱԱՊ) ծառայություններ մատուցող բժշկական կազմակերպություններից</w:t>
      </w:r>
      <w:r w:rsidRPr="00BF6DD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` գնումների մասին ՀՀ օրենսդրության պահանջների համաձայն: </w:t>
      </w:r>
      <w:r w:rsidR="00206C18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Մասնավորապես, </w:t>
      </w:r>
      <w:r w:rsidRPr="00BF6DD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շահառուները ստանում են այն դեղերը, որոնք </w:t>
      </w:r>
      <w:r w:rsidR="00206C18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ԱԱՊ</w:t>
      </w:r>
      <w:r w:rsidR="00182B59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ծառայություններ մատուցող բժշկական կազմակերպություններըւ</w:t>
      </w:r>
      <w:r w:rsidR="00206C18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Pr="00BF6DD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ձեռք են բերել գնումների մասին ՀՀ օրենսդրության պահանջներին</w:t>
      </w:r>
      <w:r w:rsidR="00206C18" w:rsidRPr="00206C18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="00206C18" w:rsidRPr="00BF6DD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համապատասխան հայտարարված</w:t>
      </w:r>
      <w:r w:rsidR="00206C18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մրցույթների արդյունքում</w:t>
      </w:r>
      <w:r w:rsidR="00763911" w:rsidRPr="00BF6DD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: </w:t>
      </w:r>
      <w:r w:rsidR="00182B59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Սակայն դեղերի ձեռք բերման հնարավորություն ունենում են ոչ բոլոր շահառուները։ Չնայած դեղատների խտությունը Երևանում բավականին բարձր է և </w:t>
      </w:r>
      <w:r w:rsidR="00182B59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10</w:t>
      </w:r>
      <w:r w:rsidR="00182B59" w:rsidRPr="00104F3E">
        <w:rPr>
          <w:rFonts w:ascii="Cambria Math" w:eastAsia="Calibri" w:hAnsi="Cambria Math" w:cs="Calibri"/>
          <w:color w:val="000000"/>
          <w:sz w:val="24"/>
          <w:szCs w:val="24"/>
          <w:shd w:val="clear" w:color="auto" w:fill="FFFFFF"/>
          <w:lang w:val="hy-AM" w:eastAsia="en-US"/>
        </w:rPr>
        <w:t>․</w:t>
      </w:r>
      <w:r w:rsidR="00182B59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0 հազար բնակչին ընկնում է 7,3 դեղատուն` </w:t>
      </w:r>
      <w:r w:rsidR="00182B59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շուրջ </w:t>
      </w:r>
      <w:r w:rsidR="00182B59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3 </w:t>
      </w:r>
      <w:r w:rsidR="00182B59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անգամ գերազանցելով ՏՀԶԿ երկրների միջին ցուցանիշը, սակայն գյուղական բնակավայրերում դրանք բացակայում են և </w:t>
      </w:r>
      <w:r w:rsidR="00182B59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24%</w:t>
      </w:r>
      <w:r w:rsidR="00182B59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գյուղացիական տնտեսությունների համար մոտակա դեղատունը գտնվում է ավելի քան </w:t>
      </w:r>
      <w:r w:rsidR="00182B59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10 </w:t>
      </w:r>
      <w:r w:rsidR="00182B59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կիլոմետր հեռավորության վրա։ Բացի ֆիզիկական հասանելիությունից, բավականին մեծ է ֆինանսական հասանելիության խնդիրը, քանզի գումարի սահմանափակ լինելը հնարավորություն չի տալիս ավելի մեծ թվով շահառուների սպասարկել։ Խնդիրը կայանում է նրանում, որ դեղ</w:t>
      </w:r>
      <w:r w:rsidR="00D772C6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ի մատակարարները հետաքրքրված չեն մասնակցել գյուղական բժշկական կենտրոնների հայտարարած մրցույթներին՝ դրանց փոքր ծավալների պատճառով կամ էլ առաջարկում են դեղերն ավելի բարձր գներով։ Դա է պատճառը, որ որոշ դեղերի մասով մեծածախ և մանրածախ գների տարբերությունը կարող է </w:t>
      </w:r>
      <w:r w:rsidR="00D772C6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2-ից 125% </w:t>
      </w:r>
      <w:r w:rsidR="00D772C6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կազմել՝ միջինում նույնիսկ գերազանցելով համեմատելի երկրներում դեղերի գները </w:t>
      </w:r>
      <w:r w:rsidR="00D772C6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29%</w:t>
      </w:r>
      <w:r w:rsidR="00D772C6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-ով</w:t>
      </w:r>
      <w:r w:rsidR="00D772C6" w:rsidRPr="00104F3E">
        <w:rPr>
          <w:rStyle w:val="rynqvb"/>
          <w:rFonts w:ascii="Times New Roman" w:hAnsi="Times New Roman" w:cs="Times New Roman"/>
          <w:color w:val="3C4043"/>
          <w:sz w:val="27"/>
          <w:szCs w:val="27"/>
          <w:shd w:val="clear" w:color="auto" w:fill="F5F5F5"/>
          <w:lang w:val="hy-AM"/>
        </w:rPr>
        <w:t>։</w:t>
      </w:r>
    </w:p>
    <w:p w14:paraId="661B3432" w14:textId="7A46E8AA" w:rsidR="00DD4E19" w:rsidRPr="00104F3E" w:rsidRDefault="00D772C6" w:rsidP="00104F3E">
      <w:pPr>
        <w:spacing w:after="0" w:line="360" w:lineRule="auto"/>
        <w:ind w:firstLine="851"/>
        <w:jc w:val="both"/>
        <w:textAlignment w:val="baseline"/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</w:pP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lastRenderedPageBreak/>
        <w:t>Դեղերի ն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երմուծման և մեծածախ</w:t>
      </w: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վաճառքի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միջև </w:t>
      </w: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տարբերությունները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սովորաբար կազմում են մինչև 100 տոկոս, իսկ որոշակի պահանջարկ ունեցող դեղերի դեպքում</w:t>
      </w: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՝ 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ավելի: Օրինակ, Վալիդոլը, որը հակատագնապային դեղամիջոց է, ներ</w:t>
      </w: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մուծման և 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մեծածախ </w:t>
      </w: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տարբերությունը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հասնում է մինչև 250 տոկոսի: </w:t>
      </w:r>
      <w:r w:rsidR="00DD4E19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Հաստատությունների մակարդակով 2147 դեղամիջոցների գնումների ավելի վաղ կատարված վերլուծության համաձայն դեղերի գների միջին տատանումները կազմել են 42 տոկոս, գնահատված 1,3 միլիարդ դրամով (ՀՆԱ-ի 0,02 տոկոսը) արդյունավետության կորուստներով:</w:t>
      </w:r>
    </w:p>
    <w:p w14:paraId="7BB32159" w14:textId="3CAE4AFD" w:rsidR="00A03A0F" w:rsidRPr="00104F3E" w:rsidRDefault="00A03A0F" w:rsidP="00104F3E">
      <w:pPr>
        <w:spacing w:after="0" w:line="360" w:lineRule="auto"/>
        <w:ind w:firstLine="851"/>
        <w:jc w:val="both"/>
        <w:textAlignment w:val="baseline"/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</w:pP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Գնահատումն ընդգծում է, որ մեծածախ շուկայում գերիշխող միևնույն ընկերությունները հաճախ գործում են մանրածախ դեղատների ցանցեր</w:t>
      </w:r>
      <w:r w:rsidR="00D772C6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ի միջոցով</w:t>
      </w: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և գները սահմանում են մանրածախ մակարդակի վրա, որոնք ավելի քան փոխհատուցում են բաշխման ծախսերի տարբերությունները:</w:t>
      </w:r>
    </w:p>
    <w:p w14:paraId="7325D239" w14:textId="353C71AC" w:rsidR="00A03A0F" w:rsidRPr="00104F3E" w:rsidRDefault="00D772C6" w:rsidP="00104F3E">
      <w:pPr>
        <w:spacing w:after="0" w:line="360" w:lineRule="auto"/>
        <w:ind w:firstLine="851"/>
        <w:jc w:val="both"/>
        <w:textAlignment w:val="baseline"/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</w:pP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Գ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նահատումը ցույց է տալիս, որ խնայողություններ կարող են </w:t>
      </w: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առաջանալ 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բժիշկների նշանակման պրակտիկայի և </w:t>
      </w: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նոր փոխհատուցման մեխանիզմի կիրառման հաշվին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: Ներկայումս չկա որևէ կանոնակարգ</w:t>
      </w: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ում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, որը </w:t>
      </w: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կ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վերահսկե</w:t>
      </w: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ր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դեղատոմսերի </w:t>
      </w: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դուրս գրման գործընթացը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: </w:t>
      </w:r>
      <w:r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Չնայած էլեկտրոնային դեղատոմսերի դուրս գրման համակարգի առկայությանը, այն սահմանափակ է կիրառվում, քանզի դեղերի փոխհատուցման մեխանիզմի հետ փոխկապված չէ։ 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16 հիվանդանոցներ</w:t>
      </w:r>
      <w:r w:rsidR="00DD4E19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ից հավաքված տվյալները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ցույց </w:t>
      </w:r>
      <w:r w:rsidR="00DD4E19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են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տվել, որ դեղատոմսերի մոտ 47 տոկոսը </w:t>
      </w:r>
      <w:r w:rsidR="00DD4E19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դուրս են գրվում 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բրենդային </w:t>
      </w:r>
      <w:r w:rsidR="00DD4E19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անվանումով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: Սա ցույց է տալիս, որ հնարավորություն կա խթանելու ավելի էժան ընդհանուր այլընտրանքներ արտապատենտային օրիգինալ </w:t>
      </w:r>
      <w:r w:rsidR="00DD4E19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դեղերի համար</w:t>
      </w:r>
      <w:r w:rsidR="00A03A0F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>:</w:t>
      </w:r>
    </w:p>
    <w:p w14:paraId="6BE8529D" w14:textId="5F01C987" w:rsidR="00BF6DDE" w:rsidRPr="00420A30" w:rsidRDefault="00BF6DDE" w:rsidP="00104F3E">
      <w:pPr>
        <w:spacing w:after="0" w:line="360" w:lineRule="auto"/>
        <w:ind w:firstLine="851"/>
        <w:jc w:val="both"/>
        <w:textAlignment w:val="baseline"/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</w:pPr>
      <w:r w:rsidRPr="00BF6DD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Նախագծով վերոնշյալ դեղերի խմբի գների հաշվարկման համար </w:t>
      </w:r>
      <w:r w:rsidR="00F83A24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կիրառվելու է առավելագույն փոխհատուցման չափի հաշվարկման մեթոդաբանություն, ինչը հնարավորություն է տալու այդ խմբի դեղերի համար կիրառել նոր փոխհատուցման մեխանիզմ, հնարավորություն տալ դեղատների միջոցով իրականացնել քաղաքացիների սպասարկումը, էլեկտրոնային դեղատոմսերի միջոցով կառավարել անվճար դեղերի բաց թողնման համակարգը։ </w:t>
      </w:r>
      <w:r w:rsidR="00FF3248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Նախագծով նախատեսվում </w:t>
      </w:r>
      <w:r w:rsidR="00F83A24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է նաև, որ պետության կողմից անվճար և արտոնյալ պայմաններով դեղերի տրամարդման </w:t>
      </w:r>
      <w:r w:rsidR="00420A30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դիմաց ֆինանսավորումը կազմակերպվելու է հրապարակային պայմանագրի </w:t>
      </w:r>
      <w:r w:rsidR="00420A30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(օֆերտայի) սկզբունքների հիման վրա՝ պայմանագրին միանալու համաձայնություն </w:t>
      </w:r>
      <w:r w:rsidR="00420A30" w:rsidRPr="00104F3E"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lastRenderedPageBreak/>
        <w:t>տվող դեղատների միջոցով։ Ընդ որում, ՀՀ առողջապահության նախարարությունը պետք է հաստատի պայմանագրի օրինակելի ձևը, պայմանագրին միանալու համաձայնության (ակցեպտի) ձևը և նախաորակավորման պայմանները։</w:t>
      </w:r>
    </w:p>
    <w:p w14:paraId="16565920" w14:textId="472CFE6C" w:rsidR="00F61379" w:rsidRPr="00195DD4" w:rsidRDefault="00F61379" w:rsidP="00104F3E">
      <w:pPr>
        <w:pStyle w:val="ListParagraph"/>
        <w:spacing w:after="0" w:line="360" w:lineRule="auto"/>
        <w:ind w:left="0" w:firstLine="851"/>
        <w:rPr>
          <w:rFonts w:ascii="GHEA Grapalat" w:hAnsi="GHEA Grapalat" w:cs="Courier New"/>
          <w:b/>
          <w:bCs/>
          <w:iCs/>
          <w:sz w:val="24"/>
          <w:szCs w:val="24"/>
          <w:u w:val="single"/>
          <w:lang w:val="hy-AM"/>
        </w:rPr>
      </w:pPr>
      <w:r w:rsidRPr="00195DD4">
        <w:rPr>
          <w:rFonts w:ascii="GHEA Grapalat" w:hAnsi="GHEA Grapalat" w:cs="Courier New"/>
          <w:b/>
          <w:bCs/>
          <w:iCs/>
          <w:sz w:val="24"/>
          <w:szCs w:val="24"/>
          <w:u w:val="single"/>
          <w:lang w:val="hy-AM"/>
        </w:rPr>
        <w:t>2. Ընթացիկ իրավիճակը և խնդիրները</w:t>
      </w:r>
    </w:p>
    <w:p w14:paraId="50D7B75C" w14:textId="57379AE4" w:rsidR="00220E4A" w:rsidRDefault="00220E4A" w:rsidP="00104F3E">
      <w:pPr>
        <w:spacing w:after="0" w:line="360" w:lineRule="auto"/>
        <w:ind w:firstLine="851"/>
        <w:jc w:val="both"/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Ներկայումս </w:t>
      </w:r>
      <w:r w:rsidRPr="00220E4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բնակչության սոցիալական կամ հատուկ խմբերի</w:t>
      </w:r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շահառուներին</w:t>
      </w:r>
      <w:r w:rsidR="00104F3E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20E4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դեղերը հատկացվում են դրանց արժեքի լրիվ կամ մասնակի փոխհատուցմամբ</w:t>
      </w:r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: </w:t>
      </w:r>
    </w:p>
    <w:p w14:paraId="4F309790" w14:textId="37DC8CB2" w:rsidR="00220E4A" w:rsidRDefault="00220E4A" w:rsidP="00104F3E">
      <w:pPr>
        <w:spacing w:after="0" w:line="360" w:lineRule="auto"/>
        <w:ind w:firstLine="851"/>
        <w:jc w:val="both"/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Նախագծով նախատեսվում է գործող օրենսդրության պայմաններին զուգահեռ փորձարարական եղանակով կիրառել նաև ս</w:t>
      </w:r>
      <w:r w:rsidR="00BF6DDE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իրտ</w:t>
      </w:r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-անոթային դեղերի փոխհատուցման </w:t>
      </w:r>
      <w:r w:rsidR="00FF3248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նոր մեխանիզմ</w:t>
      </w:r>
      <w:r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 xml:space="preserve">: </w:t>
      </w:r>
    </w:p>
    <w:p w14:paraId="4E54E244" w14:textId="67F4C4E3" w:rsidR="0097381F" w:rsidRPr="002314F0" w:rsidRDefault="00104F3E" w:rsidP="00104F3E">
      <w:pPr>
        <w:widowControl w:val="0"/>
        <w:adjustRightInd w:val="0"/>
        <w:spacing w:after="0" w:line="360" w:lineRule="auto"/>
        <w:ind w:firstLine="851"/>
        <w:jc w:val="both"/>
        <w:textAlignment w:val="baseline"/>
        <w:rPr>
          <w:rFonts w:ascii="GHEA Grapalat" w:hAnsi="GHEA Grapalat"/>
          <w:b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Calibri"/>
          <w:color w:val="000000"/>
          <w:sz w:val="24"/>
          <w:szCs w:val="24"/>
          <w:shd w:val="clear" w:color="auto" w:fill="FFFFFF"/>
          <w:lang w:val="hy-AM" w:eastAsia="en-US"/>
        </w:rPr>
        <w:t xml:space="preserve"> </w:t>
      </w:r>
      <w:r w:rsidR="00083DED" w:rsidRPr="002314F0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3. </w:t>
      </w:r>
      <w:r w:rsidR="00083DED" w:rsidRPr="002314F0">
        <w:rPr>
          <w:rFonts w:ascii="GHEA Grapalat" w:hAnsi="GHEA Grapalat" w:cs="Courier New"/>
          <w:b/>
          <w:sz w:val="24"/>
          <w:szCs w:val="24"/>
          <w:u w:val="single"/>
          <w:lang w:val="hy-AM"/>
        </w:rPr>
        <w:t>Նախագծի մշակման գործընթացում ներգրավված ինստիտուտները և անձինք</w:t>
      </w:r>
    </w:p>
    <w:p w14:paraId="35F73CA4" w14:textId="43DC050B" w:rsidR="0076245B" w:rsidRPr="00BF6DDE" w:rsidRDefault="00104F3E" w:rsidP="00104F3E">
      <w:pPr>
        <w:spacing w:after="0" w:line="360" w:lineRule="auto"/>
        <w:ind w:firstLine="851"/>
        <w:contextualSpacing/>
        <w:jc w:val="both"/>
        <w:rPr>
          <w:rFonts w:ascii="GHEA Grapalat" w:eastAsia="Calibri" w:hAnsi="GHEA Grapalat" w:cs="Calibri"/>
          <w:sz w:val="24"/>
          <w:szCs w:val="24"/>
          <w:lang w:val="hy-AM" w:eastAsia="en-US"/>
        </w:rPr>
      </w:pPr>
      <w:r>
        <w:rPr>
          <w:rFonts w:ascii="GHEA Grapalat" w:eastAsia="Calibri" w:hAnsi="GHEA Grapalat" w:cs="Calibri"/>
          <w:sz w:val="24"/>
          <w:szCs w:val="24"/>
          <w:lang w:val="hy-AM" w:eastAsia="en-US"/>
        </w:rPr>
        <w:t xml:space="preserve"> </w:t>
      </w:r>
      <w:r w:rsidR="00607CEB" w:rsidRPr="00BF6DDE">
        <w:rPr>
          <w:rFonts w:ascii="GHEA Grapalat" w:eastAsia="Calibri" w:hAnsi="GHEA Grapalat" w:cs="Calibri"/>
          <w:sz w:val="24"/>
          <w:szCs w:val="24"/>
          <w:lang w:val="af-ZA" w:eastAsia="en-US"/>
        </w:rPr>
        <w:t xml:space="preserve">Նախագծի </w:t>
      </w:r>
      <w:r w:rsidR="00607CEB" w:rsidRPr="00BF6DDE">
        <w:rPr>
          <w:rFonts w:ascii="GHEA Grapalat" w:eastAsia="Calibri" w:hAnsi="GHEA Grapalat" w:cs="Calibri"/>
          <w:sz w:val="24"/>
          <w:szCs w:val="24"/>
          <w:lang w:val="hy-AM" w:eastAsia="en-US"/>
        </w:rPr>
        <w:t>մշ</w:t>
      </w:r>
      <w:r w:rsidR="00B94CD0" w:rsidRPr="00BF6DDE">
        <w:rPr>
          <w:rFonts w:ascii="GHEA Grapalat" w:eastAsia="Calibri" w:hAnsi="GHEA Grapalat" w:cs="Calibri"/>
          <w:sz w:val="24"/>
          <w:szCs w:val="24"/>
          <w:lang w:val="hy-AM" w:eastAsia="en-US"/>
        </w:rPr>
        <w:t>ակվել է</w:t>
      </w:r>
      <w:r w:rsidR="00607CEB" w:rsidRPr="00BF6DDE">
        <w:rPr>
          <w:rFonts w:ascii="GHEA Grapalat" w:eastAsia="Calibri" w:hAnsi="GHEA Grapalat" w:cs="Calibri"/>
          <w:sz w:val="24"/>
          <w:szCs w:val="24"/>
          <w:lang w:val="af-ZA" w:eastAsia="en-US"/>
        </w:rPr>
        <w:t xml:space="preserve"> </w:t>
      </w:r>
      <w:r w:rsidR="0076245B" w:rsidRPr="00BF6DDE">
        <w:rPr>
          <w:rFonts w:ascii="GHEA Grapalat" w:eastAsia="Calibri" w:hAnsi="GHEA Grapalat" w:cs="Calibri"/>
          <w:sz w:val="24"/>
          <w:szCs w:val="24"/>
          <w:lang w:val="hy-AM" w:eastAsia="en-US"/>
        </w:rPr>
        <w:t>Առողջապահության նախարարության աշխատակիցների կողմից:</w:t>
      </w:r>
    </w:p>
    <w:p w14:paraId="68DE4242" w14:textId="77777777" w:rsidR="00083DED" w:rsidRPr="00195DD4" w:rsidRDefault="00083DED" w:rsidP="00104F3E">
      <w:pPr>
        <w:pStyle w:val="ListParagraph"/>
        <w:numPr>
          <w:ilvl w:val="0"/>
          <w:numId w:val="34"/>
        </w:numPr>
        <w:shd w:val="clear" w:color="auto" w:fill="FFFFFF"/>
        <w:spacing w:after="0" w:line="360" w:lineRule="auto"/>
        <w:ind w:left="0" w:firstLine="851"/>
        <w:textAlignment w:val="baseline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195DD4">
        <w:rPr>
          <w:rFonts w:ascii="GHEA Grapalat" w:hAnsi="GHEA Grapalat"/>
          <w:b/>
          <w:sz w:val="24"/>
          <w:szCs w:val="24"/>
          <w:u w:val="single"/>
          <w:lang w:val="hy-AM"/>
        </w:rPr>
        <w:t>Ակնկալվող արդյունքը</w:t>
      </w:r>
    </w:p>
    <w:p w14:paraId="3EDC1AAB" w14:textId="247A624A" w:rsidR="00B90DF0" w:rsidRDefault="00505F6D" w:rsidP="00104F3E">
      <w:pPr>
        <w:spacing w:after="0" w:line="360" w:lineRule="auto"/>
        <w:ind w:firstLine="851"/>
        <w:jc w:val="both"/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 w:eastAsia="en-US"/>
        </w:rPr>
      </w:pPr>
      <w:r w:rsidRPr="00BF6DDE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 w:eastAsia="en-US"/>
        </w:rPr>
        <w:t xml:space="preserve">Նախագծի ընդունումից հետո նախատեսվում է, որ </w:t>
      </w:r>
      <w:r w:rsidR="00FF3248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 w:eastAsia="en-US"/>
        </w:rPr>
        <w:t xml:space="preserve">անվճար և արտոնյալ պայմաններով դեղեր ձեռք բերելու իրավունք ունեցող </w:t>
      </w:r>
      <w:r w:rsidR="00B90DF0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 w:eastAsia="en-US"/>
        </w:rPr>
        <w:t>շահառուներ</w:t>
      </w:r>
      <w:r w:rsidR="00FF3248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 w:eastAsia="en-US"/>
        </w:rPr>
        <w:t>ը</w:t>
      </w:r>
      <w:r w:rsidR="00B90DF0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 w:eastAsia="en-US"/>
        </w:rPr>
        <w:t xml:space="preserve"> </w:t>
      </w:r>
      <w:r w:rsidR="00FF3248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 w:eastAsia="en-US"/>
        </w:rPr>
        <w:t>կստանան հնարավորություն անմիջականորեն դեղատնից ձեռք բերել իրենց կողմից ընտրված</w:t>
      </w:r>
      <w:r w:rsidR="00182B59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 w:eastAsia="en-US"/>
        </w:rPr>
        <w:t xml:space="preserve"> և անհատապես իրենց հարմար</w:t>
      </w:r>
      <w:r w:rsidR="00B90DF0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 w:eastAsia="en-US"/>
        </w:rPr>
        <w:t xml:space="preserve"> սիրտ-անոթային </w:t>
      </w:r>
      <w:r w:rsidR="00FF3248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 w:eastAsia="en-US"/>
        </w:rPr>
        <w:t xml:space="preserve">հիվանդությունների բուժման կամ շարունակական պահպանման </w:t>
      </w:r>
      <w:r w:rsidR="00B90DF0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 w:eastAsia="en-US"/>
        </w:rPr>
        <w:t>դեղեր</w:t>
      </w:r>
      <w:r w:rsidR="00FF3248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 w:eastAsia="en-US"/>
        </w:rPr>
        <w:t>ը</w:t>
      </w:r>
      <w:r w:rsidR="00B90DF0">
        <w:rPr>
          <w:rFonts w:ascii="GHEA Grapalat" w:eastAsia="Calibri" w:hAnsi="GHEA Grapalat" w:cs="Times New Roman"/>
          <w:color w:val="000000" w:themeColor="text1"/>
          <w:sz w:val="24"/>
          <w:szCs w:val="24"/>
          <w:lang w:val="hy-AM" w:eastAsia="en-US"/>
        </w:rPr>
        <w:t xml:space="preserve">: </w:t>
      </w:r>
    </w:p>
    <w:p w14:paraId="6FB693A0" w14:textId="07D965F2" w:rsidR="00A94C06" w:rsidRPr="00195DD4" w:rsidRDefault="00A94C06" w:rsidP="00104F3E">
      <w:pPr>
        <w:spacing w:after="0" w:line="360" w:lineRule="auto"/>
        <w:ind w:firstLine="851"/>
        <w:jc w:val="both"/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</w:pPr>
      <w:r w:rsidRPr="00195DD4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 xml:space="preserve">5. </w:t>
      </w:r>
      <w:r w:rsidRPr="00195DD4"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  <w:t>Լրացուցիչ</w:t>
      </w:r>
      <w:r w:rsidRPr="00195DD4">
        <w:rPr>
          <w:rFonts w:ascii="Calibri" w:eastAsia="Times New Roman" w:hAnsi="Calibri" w:cs="Calibri"/>
          <w:b/>
          <w:bCs/>
          <w:sz w:val="24"/>
          <w:szCs w:val="24"/>
          <w:u w:val="single"/>
          <w:lang w:val="hy-AM"/>
        </w:rPr>
        <w:t> </w:t>
      </w:r>
      <w:r w:rsidRPr="00195DD4"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  <w:t>ֆինանսական</w:t>
      </w:r>
      <w:r w:rsidRPr="00195DD4">
        <w:rPr>
          <w:rFonts w:ascii="Calibri" w:eastAsia="Times New Roman" w:hAnsi="Calibri" w:cs="Calibri"/>
          <w:b/>
          <w:bCs/>
          <w:sz w:val="24"/>
          <w:szCs w:val="24"/>
          <w:u w:val="single"/>
          <w:lang w:val="hy-AM"/>
        </w:rPr>
        <w:t> </w:t>
      </w:r>
      <w:r w:rsidRPr="00195DD4">
        <w:rPr>
          <w:rFonts w:ascii="GHEA Grapalat" w:eastAsia="Times New Roman" w:hAnsi="GHEA Grapalat" w:cs="Times New Roman"/>
          <w:b/>
          <w:bCs/>
          <w:sz w:val="24"/>
          <w:szCs w:val="24"/>
          <w:u w:val="single"/>
          <w:lang w:val="hy-AM"/>
        </w:rPr>
        <w:t>միջոցների անհրաժեշտության և պետական բյուջեի եկամուտներում և ծախսերում սպասվելիք փոփոխությունների մասին</w:t>
      </w:r>
    </w:p>
    <w:p w14:paraId="27E0BD05" w14:textId="6C19BB01" w:rsidR="00B90DF0" w:rsidRDefault="00FF3248" w:rsidP="00104F3E">
      <w:pPr>
        <w:spacing w:after="0" w:line="360" w:lineRule="auto"/>
        <w:ind w:firstLine="851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Նախագծի ընդունմամբ </w:t>
      </w:r>
      <w:r w:rsidR="00660AD5" w:rsidRPr="00BF6DD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202</w:t>
      </w:r>
      <w:r w:rsidRPr="00104F3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="00660AD5" w:rsidRPr="00BF6DD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թվականին</w:t>
      </w:r>
      <w:r w:rsidR="00EA6000" w:rsidRPr="00BF6DD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Հայաստանի Հանրապետության պետական բյուջեի ծ</w:t>
      </w:r>
      <w:r w:rsidR="00660AD5" w:rsidRPr="00BF6DD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ախսերի ավելացում չի նախատեսվում</w:t>
      </w:r>
      <w:r w:rsidR="00B90DF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: </w:t>
      </w:r>
    </w:p>
    <w:p w14:paraId="2A84C7A3" w14:textId="475EB818" w:rsidR="00A7308F" w:rsidRPr="00BF6DDE" w:rsidRDefault="00A7308F" w:rsidP="00104F3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F6DD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Նախագծի ընդունմամբ </w:t>
      </w:r>
      <w:r w:rsidR="00B90DF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</w:t>
      </w:r>
      <w:r w:rsidRPr="00BF6DD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պետական բյուջեում կամ տեղական ինքնակառավարման մարմնի բյուջեներում եկամուտների և ծախսերի ավելացում կամ նվազեցում չի նախատեսվում: </w:t>
      </w:r>
    </w:p>
    <w:p w14:paraId="20CA2B22" w14:textId="77777777" w:rsidR="00163E0A" w:rsidRPr="00195DD4" w:rsidRDefault="00A94C06" w:rsidP="00104F3E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u w:val="single"/>
          <w:lang w:val="hy-AM"/>
        </w:rPr>
      </w:pPr>
      <w:r w:rsidRPr="00195DD4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u w:val="single"/>
          <w:lang w:val="hy-AM"/>
        </w:rPr>
        <w:t>Կապը ռազմավարական փաստաթղթերի հետ.</w:t>
      </w:r>
    </w:p>
    <w:p w14:paraId="538C4388" w14:textId="7AC814C6" w:rsidR="00A94C06" w:rsidRPr="00BD4D8D" w:rsidRDefault="00A94C06" w:rsidP="00104F3E">
      <w:pPr>
        <w:pStyle w:val="ListParagraph"/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BD4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Հայաստանի վերափոխման</w:t>
      </w:r>
      <w:r w:rsidR="00104F3E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</w:t>
      </w:r>
      <w:r w:rsidR="00BD4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2050 </w:t>
      </w:r>
      <w:r w:rsidRPr="00BD4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ռազմավարություն, Կառավարության 2021-2026թթ. </w:t>
      </w:r>
      <w:r w:rsidR="00BD4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գործունեության միջոցառում՝ </w:t>
      </w:r>
      <w:r w:rsidR="00BD4D8D" w:rsidRPr="00BD4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ՀՀ կառավարության 2021 թվականի նոյեմբերի 18-ի N 1902-Լ որոշման</w:t>
      </w:r>
      <w:r w:rsidR="00BD4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4.1 կետից</w:t>
      </w:r>
      <w:r w:rsidRPr="00BD4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, ոլորտային և/կամ այլ ռազմավարություններ.</w:t>
      </w:r>
    </w:p>
    <w:p w14:paraId="45B178C5" w14:textId="5C260DE0" w:rsidR="0024791C" w:rsidRPr="00BD4D8D" w:rsidRDefault="005D17A5" w:rsidP="00104F3E">
      <w:pPr>
        <w:spacing w:after="0" w:line="360" w:lineRule="auto"/>
        <w:ind w:firstLine="851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BD4D8D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Սույն նախագիծը բխում </w:t>
      </w:r>
      <w:r w:rsidR="00FF3248" w:rsidRPr="00BD4D8D">
        <w:rPr>
          <w:rFonts w:ascii="GHEA Grapalat" w:hAnsi="GHEA Grapalat" w:cs="Sylfaen"/>
          <w:sz w:val="24"/>
          <w:szCs w:val="24"/>
          <w:lang w:val="hy-AM"/>
        </w:rPr>
        <w:t>է</w:t>
      </w:r>
      <w:r w:rsidR="004A7B35">
        <w:rPr>
          <w:rFonts w:ascii="GHEA Grapalat" w:hAnsi="GHEA Grapalat" w:cs="Sylfaen"/>
          <w:sz w:val="24"/>
          <w:szCs w:val="24"/>
          <w:lang w:val="hy-AM"/>
        </w:rPr>
        <w:t xml:space="preserve"> նաև</w:t>
      </w:r>
      <w:r w:rsidR="00FF3248" w:rsidRPr="00BD4D8D">
        <w:rPr>
          <w:rFonts w:ascii="GHEA Grapalat" w:hAnsi="GHEA Grapalat" w:cs="Sylfaen"/>
          <w:sz w:val="24"/>
          <w:szCs w:val="24"/>
          <w:lang w:val="hy-AM"/>
        </w:rPr>
        <w:t xml:space="preserve"> Կառավարության </w:t>
      </w:r>
      <w:r w:rsidR="00FF3248" w:rsidRPr="00BD4D8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2021-2026թթ. Ծրագրով նախատեսվող «Առողջության համապարփակ ապահովագրության» մասին ՀՀ օրենքի ընդունումից և Առողջության համապարփակ ապահովագրության ներդրման հայեցակարգից</w:t>
      </w:r>
      <w:r w:rsidRPr="00BD4D8D">
        <w:rPr>
          <w:rFonts w:ascii="GHEA Grapalat" w:hAnsi="GHEA Grapalat" w:cs="Sylfaen"/>
          <w:sz w:val="24"/>
          <w:szCs w:val="24"/>
          <w:lang w:val="hy-AM"/>
        </w:rPr>
        <w:t>:</w:t>
      </w:r>
    </w:p>
    <w:sectPr w:rsidR="0024791C" w:rsidRPr="00BD4D8D" w:rsidSect="00104F3E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B4E"/>
    <w:multiLevelType w:val="multilevel"/>
    <w:tmpl w:val="13D41810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" w15:restartNumberingAfterBreak="0">
    <w:nsid w:val="026A4FF8"/>
    <w:multiLevelType w:val="hybridMultilevel"/>
    <w:tmpl w:val="1E4836BE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4138"/>
    <w:multiLevelType w:val="hybridMultilevel"/>
    <w:tmpl w:val="33049A8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0E90"/>
    <w:multiLevelType w:val="hybridMultilevel"/>
    <w:tmpl w:val="3F04C9EC"/>
    <w:lvl w:ilvl="0" w:tplc="FA1E0244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171E7"/>
    <w:multiLevelType w:val="hybridMultilevel"/>
    <w:tmpl w:val="86B41622"/>
    <w:lvl w:ilvl="0" w:tplc="1E7CDEA2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EC3"/>
    <w:multiLevelType w:val="hybridMultilevel"/>
    <w:tmpl w:val="1188134C"/>
    <w:lvl w:ilvl="0" w:tplc="88F49B7C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10A8"/>
    <w:multiLevelType w:val="hybridMultilevel"/>
    <w:tmpl w:val="756ACBC8"/>
    <w:lvl w:ilvl="0" w:tplc="5B6E00DC">
      <w:start w:val="1"/>
      <w:numFmt w:val="decimal"/>
      <w:lvlText w:val="%1."/>
      <w:lvlJc w:val="left"/>
      <w:pPr>
        <w:ind w:left="1281" w:hanging="648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1EA56293"/>
    <w:multiLevelType w:val="hybridMultilevel"/>
    <w:tmpl w:val="71E4A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C7D1B"/>
    <w:multiLevelType w:val="hybridMultilevel"/>
    <w:tmpl w:val="1BA627E4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90B17"/>
    <w:multiLevelType w:val="hybridMultilevel"/>
    <w:tmpl w:val="DB12FCB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1E62"/>
    <w:multiLevelType w:val="hybridMultilevel"/>
    <w:tmpl w:val="74B490D0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7384B30"/>
    <w:multiLevelType w:val="hybridMultilevel"/>
    <w:tmpl w:val="68422952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162AF"/>
    <w:multiLevelType w:val="multilevel"/>
    <w:tmpl w:val="CE92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F74DAE"/>
    <w:multiLevelType w:val="hybridMultilevel"/>
    <w:tmpl w:val="C622AC54"/>
    <w:lvl w:ilvl="0" w:tplc="A3462E48">
      <w:start w:val="1"/>
      <w:numFmt w:val="decimal"/>
      <w:lvlText w:val="%1)"/>
      <w:lvlJc w:val="left"/>
      <w:pPr>
        <w:ind w:left="786" w:hanging="360"/>
      </w:pPr>
      <w:rPr>
        <w:rFonts w:ascii="GHEA Grapalat" w:hAnsi="GHEA Grapalat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5C40F0"/>
    <w:multiLevelType w:val="hybridMultilevel"/>
    <w:tmpl w:val="A202D7DC"/>
    <w:lvl w:ilvl="0" w:tplc="040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342C3905"/>
    <w:multiLevelType w:val="hybridMultilevel"/>
    <w:tmpl w:val="7FE87D50"/>
    <w:lvl w:ilvl="0" w:tplc="A7A03162">
      <w:start w:val="1"/>
      <w:numFmt w:val="decimal"/>
      <w:lvlText w:val="%1)"/>
      <w:lvlJc w:val="left"/>
      <w:pPr>
        <w:ind w:left="106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12351D"/>
    <w:multiLevelType w:val="multilevel"/>
    <w:tmpl w:val="A4002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D0772C"/>
    <w:multiLevelType w:val="hybridMultilevel"/>
    <w:tmpl w:val="E82428E4"/>
    <w:lvl w:ilvl="0" w:tplc="957C18F6">
      <w:start w:val="1"/>
      <w:numFmt w:val="decimal"/>
      <w:lvlText w:val="%1."/>
      <w:lvlJc w:val="left"/>
      <w:pPr>
        <w:ind w:left="43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3A760BC6"/>
    <w:multiLevelType w:val="hybridMultilevel"/>
    <w:tmpl w:val="B560BC68"/>
    <w:lvl w:ilvl="0" w:tplc="2E5E35B4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BC83589"/>
    <w:multiLevelType w:val="hybridMultilevel"/>
    <w:tmpl w:val="33049A8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B4328"/>
    <w:multiLevelType w:val="hybridMultilevel"/>
    <w:tmpl w:val="16365C7E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712BE"/>
    <w:multiLevelType w:val="hybridMultilevel"/>
    <w:tmpl w:val="D29AED9A"/>
    <w:lvl w:ilvl="0" w:tplc="EEBC6918">
      <w:start w:val="6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0332F"/>
    <w:multiLevelType w:val="hybridMultilevel"/>
    <w:tmpl w:val="8B1ACF2C"/>
    <w:lvl w:ilvl="0" w:tplc="04090011">
      <w:start w:val="1"/>
      <w:numFmt w:val="decimal"/>
      <w:lvlText w:val="%1)"/>
      <w:lvlJc w:val="left"/>
      <w:pPr>
        <w:ind w:left="1340" w:hanging="360"/>
      </w:p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3" w15:restartNumberingAfterBreak="0">
    <w:nsid w:val="439D27FC"/>
    <w:multiLevelType w:val="hybridMultilevel"/>
    <w:tmpl w:val="3FA277FE"/>
    <w:lvl w:ilvl="0" w:tplc="04090011">
      <w:start w:val="1"/>
      <w:numFmt w:val="decimal"/>
      <w:lvlText w:val="%1)"/>
      <w:lvlJc w:val="left"/>
      <w:pPr>
        <w:ind w:left="1510" w:hanging="360"/>
      </w:p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24" w15:restartNumberingAfterBreak="0">
    <w:nsid w:val="475F43F3"/>
    <w:multiLevelType w:val="hybridMultilevel"/>
    <w:tmpl w:val="D2D855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0BC"/>
    <w:multiLevelType w:val="hybridMultilevel"/>
    <w:tmpl w:val="839ECAFA"/>
    <w:lvl w:ilvl="0" w:tplc="040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57F51C70"/>
    <w:multiLevelType w:val="hybridMultilevel"/>
    <w:tmpl w:val="63CACEE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339CB"/>
    <w:multiLevelType w:val="hybridMultilevel"/>
    <w:tmpl w:val="C9904EC2"/>
    <w:lvl w:ilvl="0" w:tplc="040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4230"/>
    <w:multiLevelType w:val="hybridMultilevel"/>
    <w:tmpl w:val="F3A23A6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9C56B9"/>
    <w:multiLevelType w:val="hybridMultilevel"/>
    <w:tmpl w:val="46189286"/>
    <w:lvl w:ilvl="0" w:tplc="04090011">
      <w:start w:val="1"/>
      <w:numFmt w:val="decimal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653617FC"/>
    <w:multiLevelType w:val="hybridMultilevel"/>
    <w:tmpl w:val="082E1C3C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7A86258"/>
    <w:multiLevelType w:val="hybridMultilevel"/>
    <w:tmpl w:val="1C2C49AC"/>
    <w:lvl w:ilvl="0" w:tplc="25B275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30FCB"/>
    <w:multiLevelType w:val="hybridMultilevel"/>
    <w:tmpl w:val="56E4BC80"/>
    <w:lvl w:ilvl="0" w:tplc="040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AB7EB7"/>
    <w:multiLevelType w:val="hybridMultilevel"/>
    <w:tmpl w:val="DB5AA86A"/>
    <w:lvl w:ilvl="0" w:tplc="20C8E034">
      <w:start w:val="1"/>
      <w:numFmt w:val="decimal"/>
      <w:lvlText w:val="%1)"/>
      <w:lvlJc w:val="left"/>
      <w:pPr>
        <w:ind w:left="927" w:hanging="360"/>
      </w:pPr>
      <w:rPr>
        <w:rFonts w:eastAsiaTheme="minorEastAsia" w:cs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6DB0555"/>
    <w:multiLevelType w:val="hybridMultilevel"/>
    <w:tmpl w:val="8C46FBCE"/>
    <w:lvl w:ilvl="0" w:tplc="040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76F158E7"/>
    <w:multiLevelType w:val="hybridMultilevel"/>
    <w:tmpl w:val="17D0DA8A"/>
    <w:lvl w:ilvl="0" w:tplc="9C90C3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7955ACF"/>
    <w:multiLevelType w:val="hybridMultilevel"/>
    <w:tmpl w:val="F36E8ACA"/>
    <w:lvl w:ilvl="0" w:tplc="D054A7B2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8752F"/>
    <w:multiLevelType w:val="hybridMultilevel"/>
    <w:tmpl w:val="844A8652"/>
    <w:lvl w:ilvl="0" w:tplc="C1046D24">
      <w:start w:val="1"/>
      <w:numFmt w:val="decimal"/>
      <w:lvlText w:val="%1."/>
      <w:lvlJc w:val="left"/>
      <w:pPr>
        <w:ind w:left="435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7DAB5B0E"/>
    <w:multiLevelType w:val="hybridMultilevel"/>
    <w:tmpl w:val="8EE43BA2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7"/>
  </w:num>
  <w:num w:numId="5">
    <w:abstractNumId w:val="33"/>
  </w:num>
  <w:num w:numId="6">
    <w:abstractNumId w:val="18"/>
  </w:num>
  <w:num w:numId="7">
    <w:abstractNumId w:val="31"/>
  </w:num>
  <w:num w:numId="8">
    <w:abstractNumId w:val="37"/>
  </w:num>
  <w:num w:numId="9">
    <w:abstractNumId w:val="17"/>
  </w:num>
  <w:num w:numId="10">
    <w:abstractNumId w:val="15"/>
  </w:num>
  <w:num w:numId="11">
    <w:abstractNumId w:val="25"/>
  </w:num>
  <w:num w:numId="12">
    <w:abstractNumId w:val="30"/>
  </w:num>
  <w:num w:numId="13">
    <w:abstractNumId w:val="13"/>
  </w:num>
  <w:num w:numId="14">
    <w:abstractNumId w:val="5"/>
  </w:num>
  <w:num w:numId="15">
    <w:abstractNumId w:val="36"/>
  </w:num>
  <w:num w:numId="16">
    <w:abstractNumId w:val="1"/>
  </w:num>
  <w:num w:numId="17">
    <w:abstractNumId w:val="23"/>
  </w:num>
  <w:num w:numId="18">
    <w:abstractNumId w:val="11"/>
  </w:num>
  <w:num w:numId="19">
    <w:abstractNumId w:val="19"/>
  </w:num>
  <w:num w:numId="20">
    <w:abstractNumId w:val="2"/>
  </w:num>
  <w:num w:numId="21">
    <w:abstractNumId w:val="10"/>
  </w:num>
  <w:num w:numId="22">
    <w:abstractNumId w:val="28"/>
  </w:num>
  <w:num w:numId="23">
    <w:abstractNumId w:val="27"/>
  </w:num>
  <w:num w:numId="24">
    <w:abstractNumId w:val="24"/>
  </w:num>
  <w:num w:numId="25">
    <w:abstractNumId w:val="35"/>
  </w:num>
  <w:num w:numId="26">
    <w:abstractNumId w:val="8"/>
  </w:num>
  <w:num w:numId="27">
    <w:abstractNumId w:val="22"/>
  </w:num>
  <w:num w:numId="28">
    <w:abstractNumId w:val="38"/>
  </w:num>
  <w:num w:numId="29">
    <w:abstractNumId w:val="21"/>
  </w:num>
  <w:num w:numId="30">
    <w:abstractNumId w:val="4"/>
  </w:num>
  <w:num w:numId="31">
    <w:abstractNumId w:val="32"/>
  </w:num>
  <w:num w:numId="32">
    <w:abstractNumId w:val="3"/>
  </w:num>
  <w:num w:numId="33">
    <w:abstractNumId w:val="6"/>
  </w:num>
  <w:num w:numId="34">
    <w:abstractNumId w:val="9"/>
  </w:num>
  <w:num w:numId="35">
    <w:abstractNumId w:val="29"/>
  </w:num>
  <w:num w:numId="36">
    <w:abstractNumId w:val="20"/>
  </w:num>
  <w:num w:numId="37">
    <w:abstractNumId w:val="14"/>
  </w:num>
  <w:num w:numId="38">
    <w:abstractNumId w:val="34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1B"/>
    <w:rsid w:val="00001C6E"/>
    <w:rsid w:val="00017E3D"/>
    <w:rsid w:val="000408C3"/>
    <w:rsid w:val="000523DE"/>
    <w:rsid w:val="00060763"/>
    <w:rsid w:val="000725C1"/>
    <w:rsid w:val="00083DED"/>
    <w:rsid w:val="0009576E"/>
    <w:rsid w:val="000F25D0"/>
    <w:rsid w:val="00104F3E"/>
    <w:rsid w:val="00110C3C"/>
    <w:rsid w:val="00145B9B"/>
    <w:rsid w:val="00163E0A"/>
    <w:rsid w:val="0016672B"/>
    <w:rsid w:val="00166820"/>
    <w:rsid w:val="00182B59"/>
    <w:rsid w:val="00195DD4"/>
    <w:rsid w:val="001A362F"/>
    <w:rsid w:val="001F230F"/>
    <w:rsid w:val="00206C18"/>
    <w:rsid w:val="002209C4"/>
    <w:rsid w:val="00220E4A"/>
    <w:rsid w:val="002314F0"/>
    <w:rsid w:val="00240096"/>
    <w:rsid w:val="00240E28"/>
    <w:rsid w:val="0024791C"/>
    <w:rsid w:val="00257C1B"/>
    <w:rsid w:val="00257F14"/>
    <w:rsid w:val="00266D07"/>
    <w:rsid w:val="00281164"/>
    <w:rsid w:val="002906A2"/>
    <w:rsid w:val="002909AF"/>
    <w:rsid w:val="002A5C05"/>
    <w:rsid w:val="002B4D1B"/>
    <w:rsid w:val="002C1932"/>
    <w:rsid w:val="002D172F"/>
    <w:rsid w:val="003319A7"/>
    <w:rsid w:val="003353F8"/>
    <w:rsid w:val="00352D64"/>
    <w:rsid w:val="003578B1"/>
    <w:rsid w:val="003E5F91"/>
    <w:rsid w:val="003E6E9F"/>
    <w:rsid w:val="00420A30"/>
    <w:rsid w:val="00455B39"/>
    <w:rsid w:val="00475359"/>
    <w:rsid w:val="004A2102"/>
    <w:rsid w:val="004A7B35"/>
    <w:rsid w:val="004B76E6"/>
    <w:rsid w:val="005022C3"/>
    <w:rsid w:val="00505F6D"/>
    <w:rsid w:val="00515FC9"/>
    <w:rsid w:val="00522771"/>
    <w:rsid w:val="0054474A"/>
    <w:rsid w:val="00547BC0"/>
    <w:rsid w:val="005602CB"/>
    <w:rsid w:val="0056097F"/>
    <w:rsid w:val="00574119"/>
    <w:rsid w:val="00586D93"/>
    <w:rsid w:val="005B154C"/>
    <w:rsid w:val="005D17A5"/>
    <w:rsid w:val="00607CEB"/>
    <w:rsid w:val="00626F37"/>
    <w:rsid w:val="00641512"/>
    <w:rsid w:val="00643C4A"/>
    <w:rsid w:val="00650A36"/>
    <w:rsid w:val="00651CF0"/>
    <w:rsid w:val="00660AD5"/>
    <w:rsid w:val="0066571B"/>
    <w:rsid w:val="00674DF6"/>
    <w:rsid w:val="00696A86"/>
    <w:rsid w:val="006A7E07"/>
    <w:rsid w:val="006B3CB3"/>
    <w:rsid w:val="006B76AB"/>
    <w:rsid w:val="00711880"/>
    <w:rsid w:val="0071381D"/>
    <w:rsid w:val="0072460C"/>
    <w:rsid w:val="00727262"/>
    <w:rsid w:val="007275B0"/>
    <w:rsid w:val="007444BD"/>
    <w:rsid w:val="0076245B"/>
    <w:rsid w:val="00763911"/>
    <w:rsid w:val="0076457B"/>
    <w:rsid w:val="00767799"/>
    <w:rsid w:val="00773008"/>
    <w:rsid w:val="00796AA5"/>
    <w:rsid w:val="007B5893"/>
    <w:rsid w:val="007B7155"/>
    <w:rsid w:val="00825C1D"/>
    <w:rsid w:val="0083347F"/>
    <w:rsid w:val="00884695"/>
    <w:rsid w:val="008876A6"/>
    <w:rsid w:val="008954B9"/>
    <w:rsid w:val="008B3EA8"/>
    <w:rsid w:val="008C6FF0"/>
    <w:rsid w:val="00906DA6"/>
    <w:rsid w:val="009154A0"/>
    <w:rsid w:val="00920ACF"/>
    <w:rsid w:val="009422D7"/>
    <w:rsid w:val="00957D6E"/>
    <w:rsid w:val="00960A28"/>
    <w:rsid w:val="00962148"/>
    <w:rsid w:val="0097381F"/>
    <w:rsid w:val="009A35C6"/>
    <w:rsid w:val="009E4BED"/>
    <w:rsid w:val="00A0206E"/>
    <w:rsid w:val="00A03A0F"/>
    <w:rsid w:val="00A03A8F"/>
    <w:rsid w:val="00A07E5E"/>
    <w:rsid w:val="00A32B9C"/>
    <w:rsid w:val="00A35CE8"/>
    <w:rsid w:val="00A428CD"/>
    <w:rsid w:val="00A52EF7"/>
    <w:rsid w:val="00A7308F"/>
    <w:rsid w:val="00A905AE"/>
    <w:rsid w:val="00A94C06"/>
    <w:rsid w:val="00AA07AD"/>
    <w:rsid w:val="00AD0211"/>
    <w:rsid w:val="00AE5FEB"/>
    <w:rsid w:val="00AF0678"/>
    <w:rsid w:val="00AF597A"/>
    <w:rsid w:val="00B20ECF"/>
    <w:rsid w:val="00B527B9"/>
    <w:rsid w:val="00B6537A"/>
    <w:rsid w:val="00B90DF0"/>
    <w:rsid w:val="00B94CD0"/>
    <w:rsid w:val="00BA2568"/>
    <w:rsid w:val="00BD2E01"/>
    <w:rsid w:val="00BD4D8D"/>
    <w:rsid w:val="00BF6DDE"/>
    <w:rsid w:val="00C13AAF"/>
    <w:rsid w:val="00C3625B"/>
    <w:rsid w:val="00C36611"/>
    <w:rsid w:val="00C54B6B"/>
    <w:rsid w:val="00C74B6D"/>
    <w:rsid w:val="00C950F5"/>
    <w:rsid w:val="00C978F8"/>
    <w:rsid w:val="00CB0A71"/>
    <w:rsid w:val="00CE610D"/>
    <w:rsid w:val="00CF1B7B"/>
    <w:rsid w:val="00CF278D"/>
    <w:rsid w:val="00CF636D"/>
    <w:rsid w:val="00D03EBE"/>
    <w:rsid w:val="00D55597"/>
    <w:rsid w:val="00D772C6"/>
    <w:rsid w:val="00D844DA"/>
    <w:rsid w:val="00D96781"/>
    <w:rsid w:val="00DA3216"/>
    <w:rsid w:val="00DA7231"/>
    <w:rsid w:val="00DD4E19"/>
    <w:rsid w:val="00E07895"/>
    <w:rsid w:val="00E14CB5"/>
    <w:rsid w:val="00E16495"/>
    <w:rsid w:val="00E64947"/>
    <w:rsid w:val="00E81E99"/>
    <w:rsid w:val="00EA6000"/>
    <w:rsid w:val="00EC7A39"/>
    <w:rsid w:val="00ED62C5"/>
    <w:rsid w:val="00EF05CC"/>
    <w:rsid w:val="00F40EA0"/>
    <w:rsid w:val="00F61379"/>
    <w:rsid w:val="00F719F4"/>
    <w:rsid w:val="00F83A24"/>
    <w:rsid w:val="00F91FD7"/>
    <w:rsid w:val="00FC59E6"/>
    <w:rsid w:val="00FC5D3B"/>
    <w:rsid w:val="00FE6D78"/>
    <w:rsid w:val="00FF3248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7A6DA"/>
  <w15:docId w15:val="{4B2557C0-3590-464F-A387-B0FC2EBC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2B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4D1B"/>
    <w:rPr>
      <w:b/>
      <w:bCs/>
    </w:rPr>
  </w:style>
  <w:style w:type="paragraph" w:customStyle="1" w:styleId="vhc">
    <w:name w:val="vhc"/>
    <w:basedOn w:val="Normal"/>
    <w:rsid w:val="0005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0F5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773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E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E28"/>
    <w:rPr>
      <w:b/>
      <w:bCs/>
      <w:sz w:val="20"/>
      <w:szCs w:val="20"/>
    </w:rPr>
  </w:style>
  <w:style w:type="character" w:customStyle="1" w:styleId="rynqvb">
    <w:name w:val="rynqvb"/>
    <w:basedOn w:val="DefaultParagraphFont"/>
    <w:rsid w:val="00A0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8FAA-683A-456B-9BF7-4D3CEA58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MOH</cp:lastModifiedBy>
  <cp:revision>5</cp:revision>
  <dcterms:created xsi:type="dcterms:W3CDTF">2024-10-14T05:36:00Z</dcterms:created>
  <dcterms:modified xsi:type="dcterms:W3CDTF">2024-10-14T05:51:00Z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faf0a9df1c9e28663e1cc0032350a6b2176ab168d84c4395058ff93d06a0ea26</vt:lpwstr>
  </property>
</Properties>
</file>