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FE8A0" w14:textId="3415048C" w:rsidR="00D317A3" w:rsidRDefault="00D317A3" w:rsidP="00CC3742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C3742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255C4481" w14:textId="77777777" w:rsidR="00A67861" w:rsidRPr="00CC3742" w:rsidRDefault="00A67861" w:rsidP="00CC3742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8D29BD5" w14:textId="5B36A214" w:rsidR="00EA6705" w:rsidRDefault="00EA6705" w:rsidP="00EA6705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C3742">
        <w:rPr>
          <w:rFonts w:ascii="GHEA Grapalat" w:hAnsi="GHEA Grapalat"/>
          <w:b/>
          <w:sz w:val="24"/>
          <w:szCs w:val="24"/>
          <w:lang w:val="hy-AM"/>
        </w:rPr>
        <w:t>«</w:t>
      </w:r>
      <w:r w:rsidR="000E2B12" w:rsidRPr="000E2B12">
        <w:rPr>
          <w:rFonts w:ascii="GHEA Grapalat" w:hAnsi="GHEA Grapalat"/>
          <w:b/>
          <w:sz w:val="24"/>
          <w:szCs w:val="24"/>
          <w:lang w:val="hy-AM"/>
        </w:rPr>
        <w:t>ԶԲՈՍԱՇՐՋԱՅԻՆ ԳՈՐԾՈՒՆԵՈՒԹՅԱՆ ՍՈՒԲՅԵԿՏՆԵՐԻ ԿՈՂՄԻՑ ԶԲՈՍԱՇՐՋԱՅԻՆ ԾԱՌԱՅՈՒԹՅՈՒՆՆԵՐԻ ՄԱՏՈՒՑՄԱՆ ԿԱՆՈՆՆԵՐԸ ԵՎ ՊԱՀԱՆՋՆԵՐԸ ՍԱՀՄԱՆԵԼՈՒ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 ՀՀ ԿԱՌԱՎԱՐՈՒԹՅԱՆ ՈՐՈՇՄԱՆ ՆԱԽԱԳԾԻ</w:t>
      </w:r>
      <w:r w:rsidRPr="00CC3742">
        <w:rPr>
          <w:rFonts w:ascii="GHEA Grapalat" w:hAnsi="GHEA Grapalat"/>
          <w:b/>
          <w:sz w:val="24"/>
          <w:szCs w:val="24"/>
          <w:lang w:val="hy-AM"/>
        </w:rPr>
        <w:t xml:space="preserve"> ԸՆԴՈՒՆՄԱՆ</w:t>
      </w:r>
    </w:p>
    <w:p w14:paraId="02B10BE8" w14:textId="77777777" w:rsidR="00EA6705" w:rsidRPr="00CC3742" w:rsidRDefault="00EA6705" w:rsidP="00EA6705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17301B4" w14:textId="77777777" w:rsidR="00A67861" w:rsidRPr="00CC3742" w:rsidRDefault="00A67861" w:rsidP="00CC3742">
      <w:pPr>
        <w:spacing w:after="0" w:line="276" w:lineRule="auto"/>
        <w:jc w:val="center"/>
        <w:rPr>
          <w:bCs/>
          <w:lang w:val="hy-AM"/>
        </w:rPr>
      </w:pPr>
    </w:p>
    <w:p w14:paraId="30129509" w14:textId="694494B5" w:rsidR="00D317A3" w:rsidRPr="00CC3742" w:rsidRDefault="00D317A3" w:rsidP="00DC5C79">
      <w:pPr>
        <w:pStyle w:val="BodyTextIndent"/>
        <w:numPr>
          <w:ilvl w:val="0"/>
          <w:numId w:val="12"/>
        </w:numPr>
        <w:spacing w:before="120" w:line="360" w:lineRule="auto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CC3742">
        <w:rPr>
          <w:rFonts w:ascii="GHEA Grapalat" w:hAnsi="GHEA Grapalat"/>
          <w:b/>
          <w:sz w:val="24"/>
          <w:szCs w:val="24"/>
          <w:lang w:val="hy-AM" w:eastAsia="en-US"/>
        </w:rPr>
        <w:t>Իրավական ակտի ընդունման անհրաժեշտությունը</w:t>
      </w:r>
      <w:r w:rsidR="00DC5C79" w:rsidRPr="00DC5C79">
        <w:rPr>
          <w:rFonts w:ascii="GHEA Grapalat" w:hAnsi="GHEA Grapalat"/>
          <w:b/>
          <w:sz w:val="24"/>
          <w:szCs w:val="24"/>
          <w:lang w:val="hy-AM" w:eastAsia="en-US"/>
        </w:rPr>
        <w:t>.</w:t>
      </w:r>
    </w:p>
    <w:p w14:paraId="6C00734B" w14:textId="08B11563" w:rsidR="005D6CF8" w:rsidRDefault="00B2382B" w:rsidP="005D6CF8">
      <w:pPr>
        <w:pStyle w:val="norm"/>
        <w:spacing w:before="120" w:after="120" w:line="360" w:lineRule="auto"/>
        <w:ind w:firstLine="270"/>
        <w:rPr>
          <w:rFonts w:ascii="GHEA Grapalat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x-none"/>
        </w:rPr>
        <w:t>Ն</w:t>
      </w:r>
      <w:r w:rsidRPr="00937038">
        <w:rPr>
          <w:rFonts w:ascii="GHEA Grapalat" w:hAnsi="GHEA Grapalat"/>
          <w:sz w:val="24"/>
          <w:szCs w:val="24"/>
          <w:lang w:val="hy-AM" w:eastAsia="x-none"/>
        </w:rPr>
        <w:t>ախագի</w:t>
      </w:r>
      <w:r w:rsidR="003760AD" w:rsidRPr="00937038">
        <w:rPr>
          <w:rFonts w:ascii="GHEA Grapalat" w:hAnsi="GHEA Grapalat"/>
          <w:sz w:val="24"/>
          <w:szCs w:val="24"/>
          <w:lang w:val="hy-AM" w:eastAsia="x-none"/>
        </w:rPr>
        <w:t>ծ</w:t>
      </w:r>
      <w:r w:rsidR="003760AD">
        <w:rPr>
          <w:rFonts w:ascii="GHEA Grapalat" w:hAnsi="GHEA Grapalat"/>
          <w:sz w:val="24"/>
          <w:szCs w:val="24"/>
          <w:lang w:val="hy-AM" w:eastAsia="x-none"/>
        </w:rPr>
        <w:t>ը</w:t>
      </w:r>
      <w:r w:rsidRPr="00937038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="00220C8B">
        <w:rPr>
          <w:rFonts w:ascii="GHEA Grapalat" w:hAnsi="GHEA Grapalat"/>
          <w:sz w:val="24"/>
          <w:szCs w:val="24"/>
          <w:lang w:val="hy-AM" w:eastAsia="x-none"/>
        </w:rPr>
        <w:t xml:space="preserve"> ներկայացվում է ի կատարումն</w:t>
      </w:r>
      <w:r>
        <w:rPr>
          <w:rFonts w:ascii="GHEA Grapalat" w:hAnsi="GHEA Grapalat"/>
          <w:sz w:val="24"/>
          <w:szCs w:val="24"/>
          <w:lang w:val="hy-AM" w:eastAsia="x-none"/>
        </w:rPr>
        <w:t xml:space="preserve">  </w:t>
      </w:r>
      <w:r w:rsidR="000E2B12" w:rsidRPr="000E2B12">
        <w:rPr>
          <w:rFonts w:ascii="GHEA Grapalat" w:hAnsi="GHEA Grapalat"/>
          <w:sz w:val="24"/>
          <w:szCs w:val="24"/>
          <w:lang w:val="hy-AM" w:eastAsia="x-none"/>
        </w:rPr>
        <w:t xml:space="preserve">«Զբոսաշրջության մասին» Հայաստանի Հանրապետության օրենքի </w:t>
      </w:r>
      <w:r w:rsidR="00014EE5" w:rsidRPr="00014EE5">
        <w:rPr>
          <w:rFonts w:ascii="GHEA Grapalat" w:hAnsi="GHEA Grapalat"/>
          <w:sz w:val="24"/>
          <w:szCs w:val="24"/>
          <w:lang w:val="hy-AM" w:eastAsia="x-none"/>
        </w:rPr>
        <w:t>(</w:t>
      </w:r>
      <w:r w:rsidR="00014EE5">
        <w:rPr>
          <w:rFonts w:ascii="GHEA Grapalat" w:hAnsi="GHEA Grapalat"/>
          <w:sz w:val="24"/>
          <w:szCs w:val="24"/>
          <w:lang w:val="hy-AM" w:eastAsia="x-none"/>
        </w:rPr>
        <w:t>այսուհետ՝ Օրենք</w:t>
      </w:r>
      <w:r w:rsidR="00014EE5" w:rsidRPr="00014EE5">
        <w:rPr>
          <w:rFonts w:ascii="GHEA Grapalat" w:hAnsi="GHEA Grapalat"/>
          <w:sz w:val="24"/>
          <w:szCs w:val="24"/>
          <w:lang w:val="hy-AM" w:eastAsia="x-none"/>
        </w:rPr>
        <w:t xml:space="preserve">) </w:t>
      </w:r>
      <w:r w:rsidR="000E2B12" w:rsidRPr="000E2B12">
        <w:rPr>
          <w:rFonts w:ascii="GHEA Grapalat" w:hAnsi="GHEA Grapalat"/>
          <w:sz w:val="24"/>
          <w:szCs w:val="24"/>
          <w:lang w:val="hy-AM" w:eastAsia="x-none"/>
        </w:rPr>
        <w:t>15-րդ հոդվածի 1-ին մաս</w:t>
      </w:r>
      <w:r w:rsidR="000E2B12">
        <w:rPr>
          <w:rFonts w:ascii="GHEA Grapalat" w:hAnsi="GHEA Grapalat"/>
          <w:sz w:val="24"/>
          <w:szCs w:val="24"/>
          <w:lang w:val="hy-AM" w:eastAsia="x-none"/>
        </w:rPr>
        <w:t>ի։</w:t>
      </w:r>
    </w:p>
    <w:p w14:paraId="5C1D2130" w14:textId="0BE0ED59" w:rsidR="005D6CF8" w:rsidRDefault="00BA2525" w:rsidP="005D6CF8">
      <w:pPr>
        <w:pStyle w:val="norm"/>
        <w:spacing w:before="120" w:after="120" w:line="360" w:lineRule="auto"/>
        <w:ind w:firstLine="27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Նախագծի </w:t>
      </w:r>
      <w:r w:rsidRPr="00BA2525">
        <w:rPr>
          <w:rFonts w:ascii="GHEA Grapalat" w:hAnsi="GHEA Grapalat"/>
          <w:sz w:val="24"/>
          <w:lang w:val="hy-AM"/>
        </w:rPr>
        <w:t xml:space="preserve">անհրաժեշտությունն առաջացել է զբոսաշրջության բնագավառին բնորոշ դինամիկ զարգացման և նոր մարտահրավերների պայմաններում զբոսաշրջային գործունեության սուբյեկտների և զբոսաշրջիկների  փոխադարձ իրավունքների և պարտավորությունների, զբոսաշրջային </w:t>
      </w:r>
      <w:r>
        <w:rPr>
          <w:rFonts w:ascii="GHEA Grapalat" w:hAnsi="GHEA Grapalat"/>
          <w:sz w:val="24"/>
          <w:lang w:val="hy-AM"/>
        </w:rPr>
        <w:t xml:space="preserve">գործունեության սուբյեկտներին </w:t>
      </w:r>
      <w:r w:rsidRPr="00BA2525">
        <w:rPr>
          <w:rFonts w:ascii="GHEA Grapalat" w:hAnsi="GHEA Grapalat"/>
          <w:sz w:val="24"/>
          <w:lang w:val="hy-AM"/>
        </w:rPr>
        <w:t xml:space="preserve">ներկայացվող պահանջների և զբոսաշրջային գործունեության նկատմամբ վերահսկողության միջոցների հստակեցման անհրաժեշտությունից:  </w:t>
      </w:r>
    </w:p>
    <w:p w14:paraId="0977478C" w14:textId="013EAF44" w:rsidR="00D317A3" w:rsidRDefault="00D317A3" w:rsidP="007D5C88">
      <w:pPr>
        <w:pStyle w:val="BodyTextIndent"/>
        <w:numPr>
          <w:ilvl w:val="0"/>
          <w:numId w:val="12"/>
        </w:numPr>
        <w:spacing w:before="120" w:line="360" w:lineRule="auto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hy-AM" w:eastAsia="en-US"/>
        </w:rPr>
        <w:t>Ընթացիկ իրավիճակը և խնդիրները.</w:t>
      </w:r>
    </w:p>
    <w:p w14:paraId="28E2A316" w14:textId="6DD0743E" w:rsidR="00BA2525" w:rsidRDefault="00BA2525" w:rsidP="00BA2525">
      <w:pPr>
        <w:spacing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Զբոսաշրջության ոլորտի նոր օրենսդրությամբ նախատեսված է</w:t>
      </w:r>
      <w:r w:rsidR="00014EE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2024 թվականի սեպտեմբերի 1-ից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զբոսաշրջային </w:t>
      </w:r>
      <w:r w:rsidR="0044473A">
        <w:rPr>
          <w:rFonts w:ascii="GHEA Grapalat" w:eastAsia="GHEA Grapalat" w:hAnsi="GHEA Grapalat" w:cs="GHEA Grapalat"/>
          <w:sz w:val="24"/>
          <w:szCs w:val="24"/>
          <w:lang w:val="hy-AM"/>
        </w:rPr>
        <w:t>ծառայություններ մատուցող անձանց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գործունեութ</w:t>
      </w:r>
      <w:r w:rsidR="00CF1A6B">
        <w:rPr>
          <w:rFonts w:ascii="GHEA Grapalat" w:eastAsia="GHEA Grapalat" w:hAnsi="GHEA Grapalat" w:cs="GHEA Grapalat"/>
          <w:sz w:val="24"/>
          <w:szCs w:val="24"/>
          <w:lang w:val="hy-AM"/>
        </w:rPr>
        <w:t>յ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ունը դարձնել ծանուցման ենթակա։ </w:t>
      </w:r>
    </w:p>
    <w:p w14:paraId="53B76D81" w14:textId="77777777" w:rsidR="0044473A" w:rsidRDefault="0044473A" w:rsidP="00BA2525">
      <w:pPr>
        <w:spacing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Օրենսդրական վերոգրյալ փոփոխությունը կնպաստի </w:t>
      </w:r>
      <w:r w:rsidR="00BA2525" w:rsidRPr="00B56217">
        <w:rPr>
          <w:rFonts w:ascii="GHEA Grapalat" w:eastAsia="GHEA Grapalat" w:hAnsi="GHEA Grapalat" w:cs="GHEA Grapalat"/>
          <w:sz w:val="24"/>
          <w:szCs w:val="24"/>
          <w:lang w:val="hy-AM"/>
        </w:rPr>
        <w:t>Հայաստանի Հանրապետությունում զբոսաշրջային կազմակերպության կողմից պարտավորությունները չկատարելու դեպքում օրենքով հաստատված սպառողների շահերի պաշտպանության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ը</w:t>
      </w:r>
      <w:r w:rsidR="00BA2525" w:rsidRPr="00B56217">
        <w:rPr>
          <w:rFonts w:ascii="GHEA Grapalat" w:eastAsia="GHEA Grapalat" w:hAnsi="GHEA Grapalat" w:cs="GHEA Grapalat"/>
          <w:sz w:val="24"/>
          <w:szCs w:val="24"/>
          <w:lang w:val="hy-AM"/>
        </w:rPr>
        <w:t>, Հայաստանի և հայկական զբոսաշրջային արդյունքի վերաբերյալ ճշգրիտ տեղեկատվության տրամադրման վերահսկողության մեխանիզմներ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ի ներդրմանը</w:t>
      </w:r>
      <w:r w:rsidR="00BA2525" w:rsidRPr="00B56217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14:paraId="2D228C93" w14:textId="77777777" w:rsidR="006F1984" w:rsidRDefault="00BA2525" w:rsidP="006F1984">
      <w:pPr>
        <w:spacing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B56217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 xml:space="preserve"> </w:t>
      </w:r>
      <w:r w:rsidR="00014EE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Օրենքի 3-րդ հոդվածով սահմանվում են «զբոսաշրջային օպերատոր» և «զբոսաշրջային գործակալ» հասկացությունները, </w:t>
      </w:r>
      <w:r w:rsidR="006F1984">
        <w:rPr>
          <w:rFonts w:ascii="GHEA Grapalat" w:eastAsia="GHEA Grapalat" w:hAnsi="GHEA Grapalat" w:cs="GHEA Grapalat"/>
          <w:sz w:val="24"/>
          <w:szCs w:val="24"/>
          <w:lang w:val="hy-AM"/>
        </w:rPr>
        <w:t>որոնցով հստակ տարբերակվում են վերոգրյալ սուբյեկտները, մասնավորապես՝</w:t>
      </w:r>
      <w:r w:rsidR="006F1984" w:rsidRPr="006F198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14:paraId="1BB7690F" w14:textId="77777777" w:rsidR="006F1984" w:rsidRDefault="006F1984" w:rsidP="006F198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F198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զբոսաշրջային օպերատորը </w:t>
      </w:r>
      <w:r w:rsidRPr="006F1984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իրավաբանական անձ</w:t>
      </w:r>
      <w:r w:rsidRPr="006F198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է, որը </w:t>
      </w:r>
      <w:r w:rsidRPr="00225DDA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ձևավորում</w:t>
      </w:r>
      <w:r w:rsidRPr="006F198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անմիջականորեն կամ զբոսաշրջային գործունեության այլ սուբյեկտի միջոցով կամ, զբոսաշրջային գործունեության մեկ այլ սուբյեկտի հետ համատեղ հանդես գալով, իրացնում կամ առաջարկում է զբոսաշրջային փաթեթ, տուր կամ այլ առանձին զբոսաշրջային ծառայություններ կամ փոխանցում է զբոսաշրջիկի տվյալները զբոսաշրջային գործունեության մեկ այլ սուբյեկտի՝ համաձայն սույն հոդվածի 12-րդ կետի «ե» ենթակետի.</w:t>
      </w:r>
    </w:p>
    <w:p w14:paraId="0DE1DE6F" w14:textId="4ED00E0C" w:rsidR="006F1984" w:rsidRPr="006F1984" w:rsidRDefault="006F1984" w:rsidP="006F198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F1984">
        <w:rPr>
          <w:rFonts w:ascii="GHEA Grapalat" w:eastAsia="GHEA Grapalat" w:hAnsi="GHEA Grapalat" w:cs="GHEA Grapalat"/>
          <w:sz w:val="24"/>
          <w:szCs w:val="24"/>
          <w:lang w:val="hy-AM"/>
        </w:rPr>
        <w:t>զբոսաշրջային գործակալ</w:t>
      </w:r>
      <w:r w:rsidR="00225DDA">
        <w:rPr>
          <w:rFonts w:ascii="GHEA Grapalat" w:eastAsia="GHEA Grapalat" w:hAnsi="GHEA Grapalat" w:cs="GHEA Grapalat"/>
          <w:sz w:val="24"/>
          <w:szCs w:val="24"/>
          <w:lang w:val="hy-AM"/>
        </w:rPr>
        <w:t>ը</w:t>
      </w:r>
      <w:r w:rsidRPr="006F198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զբոսաշրջային օպերատոր չհանդիսացող իրավաբանական անձ կամ անհատ ձեռնարկատեր</w:t>
      </w:r>
      <w:r w:rsidR="00225DD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է</w:t>
      </w:r>
      <w:r w:rsidRPr="006F1984">
        <w:rPr>
          <w:rFonts w:ascii="GHEA Grapalat" w:eastAsia="GHEA Grapalat" w:hAnsi="GHEA Grapalat" w:cs="GHEA Grapalat"/>
          <w:sz w:val="24"/>
          <w:szCs w:val="24"/>
          <w:lang w:val="hy-AM"/>
        </w:rPr>
        <w:t>, որն անհատ զբոսաշրջիկին կամ զբոսաշրջիկների խմբին տրամադրում է զբոսաշրջության հետ կապված խորհրդատվություն կամ առաջարկում կամ վաճառում է զբոսաշրջային օպերատորի ձևավորած զբոսաշրջային փաթեթ կամ առանձին զբոսաշրջային ծառայություններ.</w:t>
      </w:r>
    </w:p>
    <w:p w14:paraId="1662E48D" w14:textId="20E35140" w:rsidR="006506BB" w:rsidRDefault="00225DDA" w:rsidP="00BA2525">
      <w:pPr>
        <w:spacing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Չնայած նրան, որ </w:t>
      </w:r>
      <w:r w:rsidR="00D141EE">
        <w:rPr>
          <w:rFonts w:ascii="GHEA Grapalat" w:eastAsia="GHEA Grapalat" w:hAnsi="GHEA Grapalat" w:cs="GHEA Grapalat"/>
          <w:sz w:val="24"/>
          <w:szCs w:val="24"/>
          <w:lang w:val="hy-AM"/>
        </w:rPr>
        <w:t>Օրենքով ներկայացված են զբոսաշրջային գործունեության սուբյեկտների հիմնական հատկանիշները, այնուամենայնիվ, դրանցից յուրաքանչյուրի համար անհրաժեշտ է սահմանել պահանջներ ու կանոններ, որոնք պարտադիր կլինեն և կապահովեն թե՛ ծառայությունների բարձր որակը, թե՛ հավասար մրցակցային դաշտի առկայությունը</w:t>
      </w:r>
      <w:r w:rsidR="00C82DC3">
        <w:rPr>
          <w:rFonts w:ascii="GHEA Grapalat" w:eastAsia="GHEA Grapalat" w:hAnsi="GHEA Grapalat" w:cs="GHEA Grapalat"/>
          <w:sz w:val="24"/>
          <w:szCs w:val="24"/>
          <w:lang w:val="hy-AM"/>
        </w:rPr>
        <w:t>՝ նպաստելով ոլորտի կարգավորմանը</w:t>
      </w:r>
      <w:r w:rsidR="006506BB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  <w:r w:rsidR="00C82DC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14:paraId="1B385BEB" w14:textId="271D1367" w:rsidR="006F1984" w:rsidRDefault="00C82DC3" w:rsidP="00BA2525">
      <w:pPr>
        <w:spacing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Պետք է նշել, որ </w:t>
      </w:r>
      <w:r w:rsidR="006506B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գործող օրենսդրությամբ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դեռևս </w:t>
      </w:r>
      <w:r w:rsidR="006506BB">
        <w:rPr>
          <w:rFonts w:ascii="GHEA Grapalat" w:eastAsia="GHEA Grapalat" w:hAnsi="GHEA Grapalat" w:cs="GHEA Grapalat"/>
          <w:sz w:val="24"/>
          <w:szCs w:val="24"/>
          <w:lang w:val="hy-AM"/>
        </w:rPr>
        <w:t>զբոսաշրջային օպերատորների</w:t>
      </w:r>
      <w:r w:rsidR="00D141E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6506B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զբոսաշրջային գործակալների </w:t>
      </w:r>
      <w:r w:rsidR="00D0195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գործունեության տարբերությունը սահմանափակված է միայն զբոսաշրջային </w:t>
      </w:r>
      <w:r w:rsidR="007069F0">
        <w:rPr>
          <w:rFonts w:ascii="GHEA Grapalat" w:eastAsia="GHEA Grapalat" w:hAnsi="GHEA Grapalat" w:cs="GHEA Grapalat"/>
          <w:sz w:val="24"/>
          <w:szCs w:val="24"/>
          <w:lang w:val="hy-AM"/>
        </w:rPr>
        <w:t>արդյունքի</w:t>
      </w:r>
      <w:r w:rsidR="00D0195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ձևավորման </w:t>
      </w:r>
      <w:r w:rsidR="007069F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փաստով, սակայն գործնականում հաճախ հնարավոր չի լինում տարբերակել երկու սուբյեկտներին։ Ուստի, առաջարկվող նախագծով սահմանված պահանջներն ու կանոնները ուղղված են ոչ միայն ծառայությունների որակի բարձրացմանը, պատշաճ սպասարկմանը, մրցակցային դաշտի հավասարությանը, այլ </w:t>
      </w:r>
      <w:r w:rsidR="007069F0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 xml:space="preserve">նաև զբոսաշրջային օպերատորի և զբոսաշրջային գործակալի հստակ տարբերակմանն ու համապատասխան գործունեության ապահովմանը։ </w:t>
      </w:r>
    </w:p>
    <w:p w14:paraId="7F06E037" w14:textId="39DC94C9" w:rsidR="004D2D94" w:rsidRPr="00B56217" w:rsidRDefault="004D2D94" w:rsidP="00BA2525">
      <w:pPr>
        <w:spacing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Հատկանշական է, որ ներկայումս զբոսաշրջության </w:t>
      </w:r>
      <w:r w:rsidRPr="004D2D94">
        <w:rPr>
          <w:rFonts w:ascii="GHEA Grapalat" w:eastAsia="GHEA Grapalat" w:hAnsi="GHEA Grapalat" w:cs="GHEA Grapalat"/>
          <w:sz w:val="24"/>
          <w:szCs w:val="24"/>
          <w:lang w:val="hy-AM"/>
        </w:rPr>
        <w:t>ոլորտում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առկա է մի իրավիճակ, որը բացասական է ազդում</w:t>
      </w:r>
      <w:r w:rsidRPr="004D2D9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մրցակցային միջավայր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ի վրա</w:t>
      </w:r>
      <w:r w:rsidRPr="004D2D9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։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Բազմաթիվ</w:t>
      </w:r>
      <w:r w:rsidRPr="004D2D9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սուբյեկտներ, մեծամասամբ նույնիսկ առանց պետական գրանցման, զբաղվում են զբոսաշրջային օպարատորի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կամ զբոսաշրջային գործակալի</w:t>
      </w:r>
      <w:r w:rsidRPr="004D2D9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գործունեությամբ, մատուցում ցածրորակ ծառայություններ՝ ներգրավելով նաև ցածրորակ զբոսավարներ, Հայաստանն ու հայկական մշակութային ժառանգությունը ներկայացնում են իրենց կարողությունների ու պատկերացումների շրջանակներում, որպես կանոն, աշխատակիցներ չունեն և աշխատատեղեր չեն էլ ստեղծում, հարկեր չեն վճարում, բնականաբար ծառայություններն առաջարկում են անհամեմատ ավելի ցածր գներով, քան բարեխիղճ գործարարները, որոնք արդեն կանգնած են շուկայից դուրս մղման վտանգի առաջ։</w:t>
      </w:r>
    </w:p>
    <w:p w14:paraId="1033E81E" w14:textId="37335A28" w:rsidR="000129EB" w:rsidRPr="007D5C88" w:rsidRDefault="000129EB" w:rsidP="007D5C88">
      <w:pPr>
        <w:pStyle w:val="BodyTextIndent"/>
        <w:numPr>
          <w:ilvl w:val="0"/>
          <w:numId w:val="12"/>
        </w:numPr>
        <w:spacing w:before="120" w:line="360" w:lineRule="auto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7D5C88">
        <w:rPr>
          <w:rFonts w:ascii="GHEA Grapalat" w:hAnsi="GHEA Grapalat"/>
          <w:b/>
          <w:sz w:val="24"/>
          <w:szCs w:val="24"/>
          <w:lang w:val="hy-AM" w:eastAsia="en-US"/>
        </w:rPr>
        <w:t>Առաջարկվող կարգավորման բնույթը</w:t>
      </w:r>
      <w:r w:rsidR="00202DBC">
        <w:rPr>
          <w:rFonts w:ascii="GHEA Grapalat" w:hAnsi="GHEA Grapalat"/>
          <w:b/>
          <w:sz w:val="24"/>
          <w:szCs w:val="24"/>
          <w:lang w:val="hy-AM" w:eastAsia="en-US"/>
        </w:rPr>
        <w:t xml:space="preserve"> և նպատակը</w:t>
      </w:r>
    </w:p>
    <w:p w14:paraId="02258864" w14:textId="027E7BC1" w:rsidR="00D559FE" w:rsidRDefault="00D559FE" w:rsidP="007D5C88">
      <w:pPr>
        <w:pStyle w:val="BodyTextIndent"/>
        <w:spacing w:before="120" w:line="360" w:lineRule="auto"/>
        <w:ind w:left="0" w:firstLine="27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Սույն նախագծով </w:t>
      </w:r>
      <w:r w:rsidR="00E52CC9">
        <w:rPr>
          <w:rFonts w:ascii="GHEA Grapalat" w:hAnsi="GHEA Grapalat"/>
          <w:bCs/>
          <w:sz w:val="24"/>
          <w:szCs w:val="24"/>
          <w:lang w:val="hy-AM" w:eastAsia="en-US"/>
        </w:rPr>
        <w:t>առաջարկվում է սահմանել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="00EC61E3" w:rsidRPr="00EC61E3">
        <w:rPr>
          <w:rFonts w:ascii="GHEA Grapalat" w:hAnsi="GHEA Grapalat"/>
          <w:bCs/>
          <w:sz w:val="24"/>
          <w:szCs w:val="24"/>
          <w:lang w:val="hy-AM"/>
        </w:rPr>
        <w:t xml:space="preserve">զբոսաշրջային գործունեության սուբյեկտների կողմից զբոսաշրջային ծառայությունների մատուցման կանոնները </w:t>
      </w:r>
      <w:r w:rsidR="00EC61E3">
        <w:rPr>
          <w:rFonts w:ascii="GHEA Grapalat" w:hAnsi="GHEA Grapalat"/>
          <w:bCs/>
          <w:sz w:val="24"/>
          <w:szCs w:val="24"/>
          <w:lang w:val="hy-AM"/>
        </w:rPr>
        <w:t>և</w:t>
      </w:r>
      <w:r w:rsidR="00EC61E3" w:rsidRPr="00EC61E3">
        <w:rPr>
          <w:rFonts w:ascii="GHEA Grapalat" w:hAnsi="GHEA Grapalat"/>
          <w:bCs/>
          <w:sz w:val="24"/>
          <w:szCs w:val="24"/>
          <w:lang w:val="hy-AM"/>
        </w:rPr>
        <w:t xml:space="preserve"> պահանջները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, որոնք </w:t>
      </w:r>
      <w:r w:rsidR="00EC61E3">
        <w:rPr>
          <w:rFonts w:ascii="GHEA Grapalat" w:hAnsi="GHEA Grapalat"/>
          <w:bCs/>
          <w:sz w:val="24"/>
          <w:szCs w:val="24"/>
          <w:lang w:val="hy-AM" w:eastAsia="en-US"/>
        </w:rPr>
        <w:t xml:space="preserve">նպատակ ունեն ոչ միայն հստակ տարբերակելու զբոսաշրջային օպերատորների և զբոսաշրջային գործակալների գործունեությունը, այլև </w:t>
      </w:r>
      <w:r w:rsidR="004D2D94">
        <w:rPr>
          <w:rFonts w:ascii="GHEA Grapalat" w:hAnsi="GHEA Grapalat"/>
          <w:bCs/>
          <w:sz w:val="24"/>
          <w:szCs w:val="24"/>
          <w:lang w:val="hy-AM" w:eastAsia="en-US"/>
        </w:rPr>
        <w:t>ապահովելու որակյալ ծառայությունների, հավասար</w:t>
      </w:r>
      <w:r w:rsidR="004D2D9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մրցակցային դաշտի առկայությունը զբոսաշրջության ոլորտում</w:t>
      </w:r>
      <w:r>
        <w:rPr>
          <w:rFonts w:ascii="GHEA Grapalat" w:hAnsi="GHEA Grapalat"/>
          <w:bCs/>
          <w:sz w:val="24"/>
          <w:szCs w:val="24"/>
          <w:lang w:val="hy-AM" w:eastAsia="en-US"/>
        </w:rPr>
        <w:t>։</w:t>
      </w:r>
    </w:p>
    <w:p w14:paraId="2781C392" w14:textId="77777777" w:rsidR="00D30F02" w:rsidRPr="00FF5AAF" w:rsidRDefault="00D317A3" w:rsidP="007D5C88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8704D3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անձիք.</w:t>
      </w:r>
    </w:p>
    <w:p w14:paraId="623B160D" w14:textId="292621CC" w:rsidR="004D2D94" w:rsidRPr="00FF5AAF" w:rsidRDefault="00D317A3" w:rsidP="004D2D94">
      <w:pPr>
        <w:pStyle w:val="BodyTextIndent"/>
        <w:spacing w:before="120" w:line="360" w:lineRule="auto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D30F02">
        <w:rPr>
          <w:rFonts w:ascii="GHEA Grapalat" w:hAnsi="GHEA Grapalat"/>
          <w:bCs/>
          <w:sz w:val="24"/>
          <w:szCs w:val="24"/>
          <w:lang w:val="hy-AM" w:eastAsia="en-US"/>
        </w:rPr>
        <w:t>Նախագիծը</w:t>
      </w:r>
      <w:r w:rsidRPr="00FF5AAF">
        <w:rPr>
          <w:rFonts w:ascii="GHEA Grapalat" w:hAnsi="GHEA Grapalat" w:cs="Sylfaen"/>
          <w:sz w:val="24"/>
          <w:szCs w:val="24"/>
          <w:lang w:val="hy-AM"/>
        </w:rPr>
        <w:t xml:space="preserve"> մշակվել է</w:t>
      </w:r>
      <w:r w:rsidR="004D2D9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52CC9" w:rsidRPr="00D30F02">
        <w:rPr>
          <w:rFonts w:ascii="GHEA Grapalat" w:hAnsi="GHEA Grapalat" w:cs="Sylfaen"/>
          <w:sz w:val="24"/>
          <w:szCs w:val="24"/>
          <w:lang w:val="hy-AM"/>
        </w:rPr>
        <w:t>Հայաստանի Հանրապետության է</w:t>
      </w:r>
      <w:r w:rsidRPr="00D30F02">
        <w:rPr>
          <w:rFonts w:ascii="GHEA Grapalat" w:hAnsi="GHEA Grapalat" w:cs="Sylfaen"/>
          <w:sz w:val="24"/>
          <w:szCs w:val="24"/>
          <w:lang w:val="hy-AM"/>
        </w:rPr>
        <w:t>կոնոմիկայի</w:t>
      </w:r>
      <w:r w:rsidRPr="00FF5AAF">
        <w:rPr>
          <w:rFonts w:ascii="GHEA Grapalat" w:hAnsi="GHEA Grapalat" w:cs="Sylfaen"/>
          <w:sz w:val="24"/>
          <w:szCs w:val="24"/>
          <w:lang w:val="hy-AM"/>
        </w:rPr>
        <w:t xml:space="preserve"> նախարարության</w:t>
      </w:r>
      <w:r w:rsidR="001319A7">
        <w:rPr>
          <w:rFonts w:ascii="GHEA Grapalat" w:hAnsi="GHEA Grapalat" w:cs="Sylfaen"/>
          <w:sz w:val="24"/>
          <w:szCs w:val="24"/>
          <w:lang w:val="hy-AM"/>
        </w:rPr>
        <w:t xml:space="preserve"> զբոսաշրջության կոմիտեի</w:t>
      </w:r>
      <w:r w:rsidRPr="00FF5AAF">
        <w:rPr>
          <w:rFonts w:ascii="GHEA Grapalat" w:hAnsi="GHEA Grapalat" w:cs="Sylfaen"/>
          <w:sz w:val="24"/>
          <w:szCs w:val="24"/>
          <w:lang w:val="hy-AM"/>
        </w:rPr>
        <w:t xml:space="preserve"> կողմից</w:t>
      </w:r>
      <w:r w:rsidR="004D2D94" w:rsidRPr="004D2D9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D2D94">
        <w:rPr>
          <w:rFonts w:ascii="GHEA Grapalat" w:hAnsi="GHEA Grapalat" w:cs="Sylfaen"/>
          <w:sz w:val="24"/>
          <w:szCs w:val="24"/>
          <w:lang w:val="hy-AM"/>
        </w:rPr>
        <w:t>ԱՄՆ ՄԶԳ աջակցությամբ</w:t>
      </w:r>
      <w:r w:rsidRPr="00FF5AAF">
        <w:rPr>
          <w:rFonts w:ascii="GHEA Grapalat" w:hAnsi="GHEA Grapalat" w:cs="Arial Armenian"/>
          <w:sz w:val="24"/>
          <w:szCs w:val="24"/>
          <w:lang w:val="hy-AM"/>
        </w:rPr>
        <w:t>:</w:t>
      </w:r>
      <w:r w:rsidR="004D2D94">
        <w:rPr>
          <w:rFonts w:ascii="GHEA Grapalat" w:hAnsi="GHEA Grapalat" w:cs="Arial Armenian"/>
          <w:sz w:val="24"/>
          <w:szCs w:val="24"/>
          <w:lang w:val="hy-AM"/>
        </w:rPr>
        <w:t xml:space="preserve"> Նախագծի մշակման ընթացքում ձևավորվել է համապատասխան աշխատանքային խումբ, որում ընդգրկված են զբոսաշրջության ոլորտի մասնավոր հատվածի ներկայացուցիչները։</w:t>
      </w:r>
    </w:p>
    <w:p w14:paraId="206F085A" w14:textId="77777777" w:rsidR="002D621B" w:rsidRPr="002D621B" w:rsidRDefault="002D621B" w:rsidP="007D5C88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D621B">
        <w:rPr>
          <w:rFonts w:ascii="GHEA Grapalat" w:hAnsi="GHEA Grapalat"/>
          <w:b/>
          <w:sz w:val="24"/>
          <w:szCs w:val="24"/>
          <w:lang w:val="hy-AM"/>
        </w:rPr>
        <w:t>Իրավական ակտի կիրառման դեպքում ակնկալվող արդյունքները</w:t>
      </w:r>
    </w:p>
    <w:p w14:paraId="429776BA" w14:textId="68AF26B3" w:rsidR="00AF1CE2" w:rsidRDefault="004D2D94" w:rsidP="007D5C88">
      <w:pPr>
        <w:pStyle w:val="BodyTextIndent"/>
        <w:spacing w:before="120" w:line="360" w:lineRule="auto"/>
        <w:ind w:left="0" w:firstLine="27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>
        <w:rPr>
          <w:rFonts w:ascii="GHEA Grapalat" w:hAnsi="GHEA Grapalat"/>
          <w:bCs/>
          <w:sz w:val="24"/>
          <w:szCs w:val="24"/>
          <w:lang w:val="hy-AM" w:eastAsia="en-US"/>
        </w:rPr>
        <w:lastRenderedPageBreak/>
        <w:t>Նախագծի</w:t>
      </w:r>
      <w:r w:rsidR="00AF1CE2" w:rsidRPr="00AF1CE2">
        <w:rPr>
          <w:rFonts w:ascii="GHEA Grapalat" w:hAnsi="GHEA Grapalat"/>
          <w:bCs/>
          <w:sz w:val="24"/>
          <w:szCs w:val="24"/>
          <w:lang w:val="hy-AM" w:eastAsia="en-US"/>
        </w:rPr>
        <w:t xml:space="preserve"> ընդունումը կնպաստի </w:t>
      </w:r>
      <w:r>
        <w:rPr>
          <w:rFonts w:ascii="GHEA Grapalat" w:hAnsi="GHEA Grapalat"/>
          <w:bCs/>
          <w:sz w:val="24"/>
          <w:szCs w:val="24"/>
          <w:lang w:val="hy-AM" w:eastAsia="en-US"/>
        </w:rPr>
        <w:t>զբոսաշրջային օպերատորի և զբոսաշրջային գործակալի պատշաճ գործունեության</w:t>
      </w:r>
      <w:r w:rsidR="00C82DC3">
        <w:rPr>
          <w:rFonts w:ascii="GHEA Grapalat" w:hAnsi="GHEA Grapalat"/>
          <w:bCs/>
          <w:sz w:val="24"/>
          <w:szCs w:val="24"/>
          <w:lang w:val="hy-AM" w:eastAsia="en-US"/>
        </w:rPr>
        <w:t>, հավասար մրցակցային դաշտի, ծառայությունների բարձր որակի ապահովմանը։</w:t>
      </w:r>
    </w:p>
    <w:p w14:paraId="03382E61" w14:textId="77777777" w:rsidR="002973D5" w:rsidRPr="00E14DA0" w:rsidRDefault="002973D5" w:rsidP="007D5C88">
      <w:pPr>
        <w:pStyle w:val="ListParagraph"/>
        <w:numPr>
          <w:ilvl w:val="0"/>
          <w:numId w:val="12"/>
        </w:numPr>
        <w:tabs>
          <w:tab w:val="left" w:pos="630"/>
          <w:tab w:val="left" w:pos="1170"/>
        </w:tabs>
        <w:spacing w:before="120" w:after="120" w:line="276" w:lineRule="auto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14DA0">
        <w:rPr>
          <w:rFonts w:ascii="GHEA Grapalat" w:hAnsi="GHEA Grapalat"/>
          <w:b/>
          <w:sz w:val="24"/>
          <w:szCs w:val="24"/>
          <w:lang w:val="hy-AM"/>
        </w:rPr>
        <w:t xml:space="preserve">Այլ տեղեկություններ </w:t>
      </w:r>
    </w:p>
    <w:p w14:paraId="1D580154" w14:textId="77777777" w:rsidR="002973D5" w:rsidRPr="002973D5" w:rsidRDefault="002973D5" w:rsidP="007D5C88">
      <w:pPr>
        <w:pStyle w:val="BodyTextIndent"/>
        <w:spacing w:before="120" w:line="360" w:lineRule="auto"/>
        <w:ind w:left="0" w:firstLine="27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 w:rsidRPr="002973D5">
        <w:rPr>
          <w:rFonts w:ascii="GHEA Grapalat" w:hAnsi="GHEA Grapalat"/>
          <w:bCs/>
          <w:sz w:val="24"/>
          <w:szCs w:val="24"/>
          <w:lang w:val="hy-AM" w:eastAsia="en-US"/>
        </w:rPr>
        <w:t>Նախագծի ընդունման դեպքում պետական բյուջեում կամ տեղական ինքնակառավարման մարմինների բյուջեներում ծախսերի և եկամուտների ավելացումներ կամ նվազեցումներ չեն նախատեսվում:</w:t>
      </w:r>
    </w:p>
    <w:p w14:paraId="185D24AF" w14:textId="77777777" w:rsidR="00D317A3" w:rsidRDefault="00D317A3" w:rsidP="007D5C88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rFonts w:ascii="Cambria Math" w:hAnsi="Cambria Math" w:cs="Cambria Math"/>
          <w:b/>
          <w:sz w:val="24"/>
          <w:szCs w:val="24"/>
          <w:lang w:val="hy-AM"/>
        </w:rPr>
      </w:pPr>
      <w:r w:rsidRPr="00134B91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Կապը ռազմավարական փաստաթղթերի հետ</w:t>
      </w:r>
      <w:r w:rsidRPr="00134B91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351FBD68" w14:textId="1A018FB8" w:rsidR="00A953D9" w:rsidRDefault="004A24F5" w:rsidP="0039741E">
      <w:pPr>
        <w:shd w:val="clear" w:color="auto" w:fill="FFFFFF"/>
        <w:spacing w:line="360" w:lineRule="auto"/>
        <w:ind w:firstLine="270"/>
        <w:jc w:val="both"/>
        <w:rPr>
          <w:rFonts w:ascii="GHEA Grapalat" w:hAnsi="GHEA Grapalat" w:cs="GHEA Grapalat"/>
          <w:sz w:val="24"/>
          <w:szCs w:val="24"/>
          <w:lang w:val="hy-AM" w:eastAsia="x-none"/>
        </w:rPr>
      </w:pP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Նախագծերը բխում են Հայաստանի վերափոխման ռազմավարություն 2050-ի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16-րդ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«Ճանաչված, հարգված և հյուրընկալ Հայաստան» 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մեգանպատակի</w:t>
      </w:r>
      <w:r>
        <w:rPr>
          <w:rFonts w:ascii="GHEA Grapalat" w:hAnsi="GHEA Grapalat" w:cs="Sylfaen"/>
          <w:bCs/>
          <w:sz w:val="24"/>
          <w:szCs w:val="24"/>
          <w:lang w:val="hy-AM"/>
        </w:rPr>
        <w:t>ց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և «</w:t>
      </w:r>
      <w:r w:rsidRPr="00557AE4">
        <w:rPr>
          <w:rFonts w:ascii="GHEA Grapalat" w:hAnsi="GHEA Grapalat" w:cs="Sylfaen"/>
          <w:bCs/>
          <w:sz w:val="24"/>
          <w:szCs w:val="24"/>
          <w:lang w:val="hy-AM"/>
        </w:rPr>
        <w:t>Վերափոխենք հարյ</w:t>
      </w:r>
      <w:r>
        <w:rPr>
          <w:rFonts w:ascii="GHEA Grapalat" w:hAnsi="GHEA Grapalat" w:cs="Sylfaen"/>
          <w:bCs/>
          <w:sz w:val="24"/>
          <w:szCs w:val="24"/>
          <w:lang w:val="hy-AM"/>
        </w:rPr>
        <w:t>ու</w:t>
      </w:r>
      <w:r w:rsidRPr="00557AE4">
        <w:rPr>
          <w:rFonts w:ascii="GHEA Grapalat" w:hAnsi="GHEA Grapalat" w:cs="Sylfaen"/>
          <w:bCs/>
          <w:sz w:val="24"/>
          <w:szCs w:val="24"/>
          <w:lang w:val="hy-AM"/>
        </w:rPr>
        <w:t xml:space="preserve">ր միլիոնավոր օտարերկրացիների </w:t>
      </w:r>
      <w:r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557AE4">
        <w:rPr>
          <w:rFonts w:ascii="GHEA Grapalat" w:hAnsi="GHEA Grapalat" w:cs="Sylfaen"/>
          <w:bCs/>
          <w:sz w:val="24"/>
          <w:szCs w:val="24"/>
          <w:lang w:val="hy-AM"/>
        </w:rPr>
        <w:t xml:space="preserve"> նրանց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ա</w:t>
      </w:r>
      <w:r w:rsidRPr="00557AE4">
        <w:rPr>
          <w:rFonts w:ascii="GHEA Grapalat" w:hAnsi="GHEA Grapalat" w:cs="Sylfaen"/>
          <w:bCs/>
          <w:sz w:val="24"/>
          <w:szCs w:val="24"/>
          <w:lang w:val="hy-AM"/>
        </w:rPr>
        <w:t>ռաջնորդների վերաբերմ</w:t>
      </w:r>
      <w:r>
        <w:rPr>
          <w:rFonts w:ascii="GHEA Grapalat" w:hAnsi="GHEA Grapalat" w:cs="Sylfaen"/>
          <w:bCs/>
          <w:sz w:val="24"/>
          <w:szCs w:val="24"/>
          <w:lang w:val="hy-AM"/>
        </w:rPr>
        <w:t>ու</w:t>
      </w:r>
      <w:r w:rsidRPr="00557AE4">
        <w:rPr>
          <w:rFonts w:ascii="GHEA Grapalat" w:hAnsi="GHEA Grapalat" w:cs="Sylfaen"/>
          <w:bCs/>
          <w:sz w:val="24"/>
          <w:szCs w:val="24"/>
          <w:lang w:val="hy-AM"/>
        </w:rPr>
        <w:t xml:space="preserve">նքը </w:t>
      </w:r>
      <w:r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557AE4">
        <w:rPr>
          <w:rFonts w:ascii="GHEA Grapalat" w:hAnsi="GHEA Grapalat" w:cs="Sylfaen"/>
          <w:bCs/>
          <w:sz w:val="24"/>
          <w:szCs w:val="24"/>
          <w:lang w:val="hy-AM"/>
        </w:rPr>
        <w:t>այաստանի հանդեպ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» «</w:t>
      </w:r>
      <w:r>
        <w:rPr>
          <w:rFonts w:ascii="GHEA Grapalat" w:hAnsi="GHEA Grapalat" w:cs="Sylfaen"/>
          <w:bCs/>
          <w:sz w:val="24"/>
          <w:szCs w:val="24"/>
          <w:lang w:val="hy-AM"/>
        </w:rPr>
        <w:t>Զանգվածային վերափոխման իմաստը»-ից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(հղում՝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hyperlink r:id="rId8" w:history="1">
        <w:r w:rsidRPr="00091117">
          <w:rPr>
            <w:rStyle w:val="Hyperlink"/>
            <w:rFonts w:ascii="GHEA Grapalat" w:hAnsi="GHEA Grapalat" w:cs="Sylfaen"/>
            <w:bCs/>
            <w:sz w:val="24"/>
            <w:szCs w:val="24"/>
            <w:lang w:val="hy-AM"/>
          </w:rPr>
          <w:t>https://www.primeminister.am/u_files/file/Haytararutyunner/Armenia2050_7_5.pdf</w:t>
        </w:r>
      </w:hyperlink>
      <w:r w:rsidRPr="00091117">
        <w:rPr>
          <w:rFonts w:ascii="GHEA Grapalat" w:hAnsi="GHEA Grapalat" w:cs="Sylfaen"/>
          <w:bCs/>
          <w:sz w:val="24"/>
          <w:szCs w:val="24"/>
          <w:lang w:val="hy-AM"/>
        </w:rPr>
        <w:t>,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28-րդ և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70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-րդ էջ</w:t>
      </w:r>
      <w:r>
        <w:rPr>
          <w:rFonts w:ascii="GHEA Grapalat" w:hAnsi="GHEA Grapalat" w:cs="Sylfaen"/>
          <w:bCs/>
          <w:sz w:val="24"/>
          <w:szCs w:val="24"/>
          <w:lang w:val="hy-AM"/>
        </w:rPr>
        <w:t>եր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)</w:t>
      </w:r>
      <w:r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Հայաստանի Հանրապետության կառավարության 2021-2026 թվականների ծրագրի «2 ՏՆՏԵՍՈՒԹՅՈՒՆ» </w:t>
      </w:r>
      <w:r w:rsidRPr="00656F4C">
        <w:rPr>
          <w:rFonts w:ascii="GHEA Grapalat" w:hAnsi="GHEA Grapalat" w:cs="Sylfaen"/>
          <w:bCs/>
          <w:sz w:val="24"/>
          <w:szCs w:val="24"/>
          <w:lang w:val="hy-AM"/>
        </w:rPr>
        <w:t>կետի «Արտաքին տնտեսական քաղաքականություն և արտահանման խթանում» բաժնի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1-ին, 4-րդ, 5-րդ, 6-րդ պարբերություններից</w:t>
      </w:r>
      <w:r w:rsidRPr="00656F4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և 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«2.</w:t>
      </w:r>
      <w:r>
        <w:rPr>
          <w:rFonts w:ascii="GHEA Grapalat" w:hAnsi="GHEA Grapalat" w:cs="Sylfaen"/>
          <w:bCs/>
          <w:sz w:val="24"/>
          <w:szCs w:val="24"/>
          <w:lang w:val="hy-AM"/>
        </w:rPr>
        <w:t>5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Զբոսաշրջություն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» բաժնի</w:t>
      </w:r>
      <w:r>
        <w:rPr>
          <w:rFonts w:ascii="GHEA Grapalat" w:hAnsi="GHEA Grapalat" w:cs="Sylfaen"/>
          <w:bCs/>
          <w:sz w:val="24"/>
          <w:szCs w:val="24"/>
          <w:lang w:val="hy-AM"/>
        </w:rPr>
        <w:t>ց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(հղում՝ </w:t>
      </w:r>
      <w:hyperlink r:id="rId9" w:history="1">
        <w:r w:rsidRPr="00091117">
          <w:rPr>
            <w:rStyle w:val="Hyperlink"/>
            <w:rFonts w:ascii="GHEA Grapalat" w:hAnsi="GHEA Grapalat" w:cs="Sylfaen"/>
            <w:bCs/>
            <w:sz w:val="24"/>
            <w:szCs w:val="24"/>
            <w:lang w:val="hy-AM"/>
          </w:rPr>
          <w:t>https://www.arlis.am/Annexes/6/2021_N1363hav.pdf</w:t>
        </w:r>
      </w:hyperlink>
      <w:r w:rsidRPr="00091117">
        <w:rPr>
          <w:rFonts w:ascii="GHEA Grapalat" w:hAnsi="GHEA Grapalat" w:cs="Sylfaen"/>
          <w:bCs/>
          <w:sz w:val="24"/>
          <w:szCs w:val="24"/>
          <w:lang w:val="hy-AM"/>
        </w:rPr>
        <w:t>, 2</w:t>
      </w:r>
      <w:r>
        <w:rPr>
          <w:rFonts w:ascii="GHEA Grapalat" w:hAnsi="GHEA Grapalat" w:cs="Sylfaen"/>
          <w:bCs/>
          <w:sz w:val="24"/>
          <w:szCs w:val="24"/>
          <w:lang w:val="hy-AM"/>
        </w:rPr>
        <w:t>7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-րդ</w:t>
      </w:r>
      <w:r>
        <w:rPr>
          <w:rFonts w:ascii="GHEA Grapalat" w:hAnsi="GHEA Grapalat" w:cs="Sylfaen"/>
          <w:bCs/>
          <w:sz w:val="24"/>
          <w:szCs w:val="24"/>
          <w:lang w:val="hy-AM"/>
        </w:rPr>
        <w:t>, 28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-րդ և 3</w:t>
      </w:r>
      <w:r>
        <w:rPr>
          <w:rFonts w:ascii="GHEA Grapalat" w:hAnsi="GHEA Grapalat" w:cs="Sylfaen"/>
          <w:bCs/>
          <w:sz w:val="24"/>
          <w:szCs w:val="24"/>
          <w:lang w:val="hy-AM"/>
        </w:rPr>
        <w:t>8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-</w:t>
      </w:r>
      <w:r>
        <w:rPr>
          <w:rFonts w:ascii="GHEA Grapalat" w:hAnsi="GHEA Grapalat" w:cs="Sylfaen"/>
          <w:bCs/>
          <w:sz w:val="24"/>
          <w:szCs w:val="24"/>
          <w:lang w:val="hy-AM"/>
        </w:rPr>
        <w:t>39-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րդ էջեր)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A177ED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A177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77ED">
        <w:rPr>
          <w:rFonts w:ascii="GHEA Grapalat" w:eastAsia="Times New Roman" w:hAnsi="GHEA Grapalat" w:cs="Times New Roman"/>
          <w:color w:val="00000A"/>
          <w:sz w:val="24"/>
          <w:szCs w:val="24"/>
          <w:lang w:val="hy-AM"/>
        </w:rPr>
        <w:t>ՀՀ կառավարության 2021թ. նոյեմբերի 18-ի «Հայաստանի Հանրապետության կառավարության 2021-2026 թվականների գործունեության միջոցառումների ծրագիրը հաստատելու մասին» N 1902-Լ որոշմամբ հաստատված հավելված 1-ի «Էկոնոմիկայի նախարարություն» բաժնի 10</w:t>
      </w:r>
      <w:r w:rsidRPr="00A177ED">
        <w:rPr>
          <w:rFonts w:ascii="Cambria Math" w:eastAsia="Times New Roman" w:hAnsi="Cambria Math" w:cs="Cambria Math"/>
          <w:color w:val="00000A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color w:val="00000A"/>
          <w:sz w:val="24"/>
          <w:szCs w:val="24"/>
          <w:lang w:val="hy-AM"/>
        </w:rPr>
        <w:t>2</w:t>
      </w:r>
      <w:r w:rsidRPr="00A177ED">
        <w:rPr>
          <w:rFonts w:ascii="GHEA Grapalat" w:eastAsia="Times New Roman" w:hAnsi="GHEA Grapalat" w:cs="Times New Roman"/>
          <w:color w:val="00000A"/>
          <w:sz w:val="24"/>
          <w:szCs w:val="24"/>
          <w:lang w:val="hy-AM"/>
        </w:rPr>
        <w:t xml:space="preserve"> կետ </w:t>
      </w:r>
      <w:r w:rsidRPr="00A177ED">
        <w:rPr>
          <w:rFonts w:ascii="GHEA Grapalat" w:hAnsi="GHEA Grapalat" w:cs="Sylfaen"/>
          <w:bCs/>
          <w:sz w:val="24"/>
          <w:szCs w:val="24"/>
          <w:lang w:val="hy-AM"/>
        </w:rPr>
        <w:t xml:space="preserve">(հղում՝ </w:t>
      </w:r>
      <w:hyperlink r:id="rId10" w:history="1">
        <w:r w:rsidRPr="00A177E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https://www.arlis.am/Annexes/6/2021_N1902hav.1.pdf</w:t>
        </w:r>
      </w:hyperlink>
      <w:r w:rsidRPr="00A177E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231-</w:t>
      </w:r>
      <w:r w:rsidRPr="00A177ED">
        <w:rPr>
          <w:rFonts w:ascii="GHEA Grapalat" w:hAnsi="GHEA Grapalat" w:cs="Sylfaen"/>
          <w:bCs/>
          <w:sz w:val="24"/>
          <w:szCs w:val="24"/>
          <w:lang w:val="hy-AM"/>
        </w:rPr>
        <w:t>232-րդ էջ)։</w:t>
      </w:r>
      <w:r w:rsidRPr="00BE3D3C">
        <w:rPr>
          <w:rFonts w:ascii="GHEA Grapalat" w:hAnsi="GHEA Grapalat" w:cs="Sylfaen"/>
          <w:bCs/>
          <w:lang w:val="hy-AM"/>
        </w:rPr>
        <w:t xml:space="preserve"> 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sectPr w:rsidR="00A953D9" w:rsidSect="008626C8">
      <w:pgSz w:w="12240" w:h="15840"/>
      <w:pgMar w:top="1440" w:right="81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50711" w14:textId="77777777" w:rsidR="004978B5" w:rsidRDefault="004978B5" w:rsidP="000E21FA">
      <w:pPr>
        <w:spacing w:after="0" w:line="240" w:lineRule="auto"/>
      </w:pPr>
      <w:r>
        <w:separator/>
      </w:r>
    </w:p>
  </w:endnote>
  <w:endnote w:type="continuationSeparator" w:id="0">
    <w:p w14:paraId="4F0DAC60" w14:textId="77777777" w:rsidR="004978B5" w:rsidRDefault="004978B5" w:rsidP="000E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41CC4" w14:textId="77777777" w:rsidR="004978B5" w:rsidRDefault="004978B5" w:rsidP="000E21FA">
      <w:pPr>
        <w:spacing w:after="0" w:line="240" w:lineRule="auto"/>
      </w:pPr>
      <w:r>
        <w:separator/>
      </w:r>
    </w:p>
  </w:footnote>
  <w:footnote w:type="continuationSeparator" w:id="0">
    <w:p w14:paraId="31645528" w14:textId="77777777" w:rsidR="004978B5" w:rsidRDefault="004978B5" w:rsidP="000E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6291F"/>
    <w:multiLevelType w:val="hybridMultilevel"/>
    <w:tmpl w:val="A162C980"/>
    <w:lvl w:ilvl="0" w:tplc="AC969C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EE8"/>
    <w:multiLevelType w:val="hybridMultilevel"/>
    <w:tmpl w:val="83467608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B5548F"/>
    <w:multiLevelType w:val="hybridMultilevel"/>
    <w:tmpl w:val="522E15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E580087"/>
    <w:multiLevelType w:val="hybridMultilevel"/>
    <w:tmpl w:val="BA2E104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CC37D2"/>
    <w:multiLevelType w:val="hybridMultilevel"/>
    <w:tmpl w:val="B6B8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2D20"/>
    <w:multiLevelType w:val="hybridMultilevel"/>
    <w:tmpl w:val="C4B6320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EB00F57"/>
    <w:multiLevelType w:val="hybridMultilevel"/>
    <w:tmpl w:val="0E74E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B31B7"/>
    <w:multiLevelType w:val="hybridMultilevel"/>
    <w:tmpl w:val="0CE61B6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E3B47E4"/>
    <w:multiLevelType w:val="hybridMultilevel"/>
    <w:tmpl w:val="BB8EF16A"/>
    <w:lvl w:ilvl="0" w:tplc="1584D1C2">
      <w:start w:val="1"/>
      <w:numFmt w:val="decimal"/>
      <w:lvlText w:val="%1."/>
      <w:lvlJc w:val="left"/>
      <w:pPr>
        <w:ind w:left="63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5CA5676"/>
    <w:multiLevelType w:val="hybridMultilevel"/>
    <w:tmpl w:val="22DCD832"/>
    <w:lvl w:ilvl="0" w:tplc="784C6A5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56220"/>
    <w:multiLevelType w:val="hybridMultilevel"/>
    <w:tmpl w:val="1870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143AE"/>
    <w:multiLevelType w:val="hybridMultilevel"/>
    <w:tmpl w:val="62F6D3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16120E"/>
    <w:multiLevelType w:val="hybridMultilevel"/>
    <w:tmpl w:val="8AB84B06"/>
    <w:lvl w:ilvl="0" w:tplc="04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3" w15:restartNumberingAfterBreak="0">
    <w:nsid w:val="5072793A"/>
    <w:multiLevelType w:val="hybridMultilevel"/>
    <w:tmpl w:val="DDA801F0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4" w15:restartNumberingAfterBreak="0">
    <w:nsid w:val="508835BA"/>
    <w:multiLevelType w:val="hybridMultilevel"/>
    <w:tmpl w:val="6362348A"/>
    <w:lvl w:ilvl="0" w:tplc="AEB28010">
      <w:numFmt w:val="bullet"/>
      <w:lvlText w:val="-"/>
      <w:lvlJc w:val="left"/>
      <w:pPr>
        <w:ind w:left="720" w:hanging="360"/>
      </w:pPr>
      <w:rPr>
        <w:rFonts w:ascii="GHEA Grapalat" w:eastAsia="GHEA Grapalat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57BCE"/>
    <w:multiLevelType w:val="hybridMultilevel"/>
    <w:tmpl w:val="F14E07FE"/>
    <w:lvl w:ilvl="0" w:tplc="A7B2F7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8399B"/>
    <w:multiLevelType w:val="hybridMultilevel"/>
    <w:tmpl w:val="F766B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66E52"/>
    <w:multiLevelType w:val="hybridMultilevel"/>
    <w:tmpl w:val="E72883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9844F7"/>
    <w:multiLevelType w:val="hybridMultilevel"/>
    <w:tmpl w:val="0C9636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0104981">
    <w:abstractNumId w:val="4"/>
  </w:num>
  <w:num w:numId="2" w16cid:durableId="1642222766">
    <w:abstractNumId w:val="10"/>
  </w:num>
  <w:num w:numId="3" w16cid:durableId="693311926">
    <w:abstractNumId w:val="1"/>
  </w:num>
  <w:num w:numId="4" w16cid:durableId="902106858">
    <w:abstractNumId w:val="3"/>
  </w:num>
  <w:num w:numId="5" w16cid:durableId="649822063">
    <w:abstractNumId w:val="11"/>
  </w:num>
  <w:num w:numId="6" w16cid:durableId="108624137">
    <w:abstractNumId w:val="0"/>
  </w:num>
  <w:num w:numId="7" w16cid:durableId="121536133">
    <w:abstractNumId w:val="17"/>
  </w:num>
  <w:num w:numId="8" w16cid:durableId="1779786744">
    <w:abstractNumId w:val="5"/>
  </w:num>
  <w:num w:numId="9" w16cid:durableId="229463621">
    <w:abstractNumId w:val="12"/>
  </w:num>
  <w:num w:numId="10" w16cid:durableId="1486165437">
    <w:abstractNumId w:val="13"/>
  </w:num>
  <w:num w:numId="11" w16cid:durableId="656962072">
    <w:abstractNumId w:val="18"/>
  </w:num>
  <w:num w:numId="12" w16cid:durableId="596911630">
    <w:abstractNumId w:val="8"/>
  </w:num>
  <w:num w:numId="13" w16cid:durableId="2041776035">
    <w:abstractNumId w:val="15"/>
  </w:num>
  <w:num w:numId="14" w16cid:durableId="2123766517">
    <w:abstractNumId w:val="9"/>
  </w:num>
  <w:num w:numId="15" w16cid:durableId="1449814745">
    <w:abstractNumId w:val="16"/>
  </w:num>
  <w:num w:numId="16" w16cid:durableId="108402156">
    <w:abstractNumId w:val="16"/>
  </w:num>
  <w:num w:numId="17" w16cid:durableId="1429304735">
    <w:abstractNumId w:val="2"/>
  </w:num>
  <w:num w:numId="18" w16cid:durableId="643047469">
    <w:abstractNumId w:val="6"/>
  </w:num>
  <w:num w:numId="19" w16cid:durableId="936910805">
    <w:abstractNumId w:val="7"/>
  </w:num>
  <w:num w:numId="20" w16cid:durableId="3007736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31"/>
    <w:rsid w:val="000129EB"/>
    <w:rsid w:val="00014EE5"/>
    <w:rsid w:val="000662AC"/>
    <w:rsid w:val="000E21FA"/>
    <w:rsid w:val="000E2B12"/>
    <w:rsid w:val="000E3006"/>
    <w:rsid w:val="00130D56"/>
    <w:rsid w:val="001319A7"/>
    <w:rsid w:val="001350E0"/>
    <w:rsid w:val="00135F51"/>
    <w:rsid w:val="00152FCE"/>
    <w:rsid w:val="001630E7"/>
    <w:rsid w:val="0018140D"/>
    <w:rsid w:val="00185398"/>
    <w:rsid w:val="001A7F18"/>
    <w:rsid w:val="001E466E"/>
    <w:rsid w:val="001F0A09"/>
    <w:rsid w:val="001F6F0D"/>
    <w:rsid w:val="00202DBC"/>
    <w:rsid w:val="002176BD"/>
    <w:rsid w:val="00220C8B"/>
    <w:rsid w:val="00225DDA"/>
    <w:rsid w:val="00243EB5"/>
    <w:rsid w:val="0027552D"/>
    <w:rsid w:val="002810CF"/>
    <w:rsid w:val="0028453D"/>
    <w:rsid w:val="002973D5"/>
    <w:rsid w:val="002B51D0"/>
    <w:rsid w:val="002D621B"/>
    <w:rsid w:val="002E3E52"/>
    <w:rsid w:val="002E577D"/>
    <w:rsid w:val="002F242D"/>
    <w:rsid w:val="00300894"/>
    <w:rsid w:val="00316000"/>
    <w:rsid w:val="00330BBB"/>
    <w:rsid w:val="00357AC3"/>
    <w:rsid w:val="003748A7"/>
    <w:rsid w:val="003760AD"/>
    <w:rsid w:val="0039741E"/>
    <w:rsid w:val="0044473A"/>
    <w:rsid w:val="00463E1F"/>
    <w:rsid w:val="004761E1"/>
    <w:rsid w:val="00483DFE"/>
    <w:rsid w:val="00493EEE"/>
    <w:rsid w:val="004978A9"/>
    <w:rsid w:val="004978B5"/>
    <w:rsid w:val="00497C4F"/>
    <w:rsid w:val="004A24F5"/>
    <w:rsid w:val="004B61D9"/>
    <w:rsid w:val="004D2D94"/>
    <w:rsid w:val="004F7796"/>
    <w:rsid w:val="005042AB"/>
    <w:rsid w:val="005515B3"/>
    <w:rsid w:val="005B0837"/>
    <w:rsid w:val="005B21F0"/>
    <w:rsid w:val="005D3497"/>
    <w:rsid w:val="005D6CF8"/>
    <w:rsid w:val="005E12C7"/>
    <w:rsid w:val="005E2DDA"/>
    <w:rsid w:val="005E5236"/>
    <w:rsid w:val="005F6BD0"/>
    <w:rsid w:val="0061377C"/>
    <w:rsid w:val="00615123"/>
    <w:rsid w:val="00620F31"/>
    <w:rsid w:val="00634168"/>
    <w:rsid w:val="006468DC"/>
    <w:rsid w:val="00650398"/>
    <w:rsid w:val="006506BB"/>
    <w:rsid w:val="00657A25"/>
    <w:rsid w:val="006B7259"/>
    <w:rsid w:val="006F1984"/>
    <w:rsid w:val="007069F0"/>
    <w:rsid w:val="00707544"/>
    <w:rsid w:val="007142CC"/>
    <w:rsid w:val="00731615"/>
    <w:rsid w:val="0074488C"/>
    <w:rsid w:val="00760BD7"/>
    <w:rsid w:val="007B342A"/>
    <w:rsid w:val="007C665D"/>
    <w:rsid w:val="007D5C88"/>
    <w:rsid w:val="007E63BB"/>
    <w:rsid w:val="007F6D37"/>
    <w:rsid w:val="007F7232"/>
    <w:rsid w:val="008255FD"/>
    <w:rsid w:val="00842B8C"/>
    <w:rsid w:val="00843855"/>
    <w:rsid w:val="00852D43"/>
    <w:rsid w:val="00853B01"/>
    <w:rsid w:val="008626C8"/>
    <w:rsid w:val="008704D3"/>
    <w:rsid w:val="00886897"/>
    <w:rsid w:val="008A5439"/>
    <w:rsid w:val="008B13CA"/>
    <w:rsid w:val="008B4CB1"/>
    <w:rsid w:val="008E3E7F"/>
    <w:rsid w:val="008F1B84"/>
    <w:rsid w:val="00901E45"/>
    <w:rsid w:val="0090406D"/>
    <w:rsid w:val="0092341F"/>
    <w:rsid w:val="00960DD9"/>
    <w:rsid w:val="009F2F91"/>
    <w:rsid w:val="009F3CD9"/>
    <w:rsid w:val="00A25BC8"/>
    <w:rsid w:val="00A428A8"/>
    <w:rsid w:val="00A67861"/>
    <w:rsid w:val="00A70832"/>
    <w:rsid w:val="00A73EF3"/>
    <w:rsid w:val="00A87FD9"/>
    <w:rsid w:val="00A905A2"/>
    <w:rsid w:val="00A953D9"/>
    <w:rsid w:val="00AA0BCE"/>
    <w:rsid w:val="00AF1CE2"/>
    <w:rsid w:val="00AF5C2B"/>
    <w:rsid w:val="00B01BDC"/>
    <w:rsid w:val="00B02C59"/>
    <w:rsid w:val="00B15C9E"/>
    <w:rsid w:val="00B22A03"/>
    <w:rsid w:val="00B2382B"/>
    <w:rsid w:val="00B26BA5"/>
    <w:rsid w:val="00B53184"/>
    <w:rsid w:val="00B66361"/>
    <w:rsid w:val="00B848D7"/>
    <w:rsid w:val="00B853B9"/>
    <w:rsid w:val="00BA2525"/>
    <w:rsid w:val="00BD3D55"/>
    <w:rsid w:val="00C01B3D"/>
    <w:rsid w:val="00C23587"/>
    <w:rsid w:val="00C300C9"/>
    <w:rsid w:val="00C378DA"/>
    <w:rsid w:val="00C75795"/>
    <w:rsid w:val="00C82DC3"/>
    <w:rsid w:val="00C93416"/>
    <w:rsid w:val="00C9439D"/>
    <w:rsid w:val="00CA1EBE"/>
    <w:rsid w:val="00CC3742"/>
    <w:rsid w:val="00CD4CDC"/>
    <w:rsid w:val="00CF1A6B"/>
    <w:rsid w:val="00D01951"/>
    <w:rsid w:val="00D13F76"/>
    <w:rsid w:val="00D141EE"/>
    <w:rsid w:val="00D17020"/>
    <w:rsid w:val="00D30F02"/>
    <w:rsid w:val="00D317A3"/>
    <w:rsid w:val="00D4399C"/>
    <w:rsid w:val="00D45E63"/>
    <w:rsid w:val="00D559FE"/>
    <w:rsid w:val="00D73A74"/>
    <w:rsid w:val="00D77ACF"/>
    <w:rsid w:val="00D804E9"/>
    <w:rsid w:val="00D92395"/>
    <w:rsid w:val="00DA303D"/>
    <w:rsid w:val="00DA3383"/>
    <w:rsid w:val="00DA6F60"/>
    <w:rsid w:val="00DB0785"/>
    <w:rsid w:val="00DC5C79"/>
    <w:rsid w:val="00DC6880"/>
    <w:rsid w:val="00DD49D4"/>
    <w:rsid w:val="00DF2033"/>
    <w:rsid w:val="00E13FBC"/>
    <w:rsid w:val="00E14DA0"/>
    <w:rsid w:val="00E15F3F"/>
    <w:rsid w:val="00E4096F"/>
    <w:rsid w:val="00E47CDA"/>
    <w:rsid w:val="00E50584"/>
    <w:rsid w:val="00E52CC9"/>
    <w:rsid w:val="00E627F1"/>
    <w:rsid w:val="00E67E43"/>
    <w:rsid w:val="00EA6705"/>
    <w:rsid w:val="00EB3997"/>
    <w:rsid w:val="00EC61E3"/>
    <w:rsid w:val="00ED10C1"/>
    <w:rsid w:val="00F01FD8"/>
    <w:rsid w:val="00F308C8"/>
    <w:rsid w:val="00F32610"/>
    <w:rsid w:val="00F3606A"/>
    <w:rsid w:val="00F906FA"/>
    <w:rsid w:val="00FB2496"/>
    <w:rsid w:val="00FB53B7"/>
    <w:rsid w:val="00FE32DB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72C7"/>
  <w15:chartTrackingRefBased/>
  <w15:docId w15:val="{9C38A56F-AFF7-4C90-BC8C-4D170485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0C8B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F7232"/>
    <w:rPr>
      <w:b/>
      <w:bCs/>
    </w:rPr>
  </w:style>
  <w:style w:type="paragraph" w:styleId="ListParagraph">
    <w:name w:val="List Paragraph"/>
    <w:aliases w:val="Table/Figure Heading,Listeafsnit,Paragraphe de liste1,List_Paragraph,Multilevel para_II,List Paragraph1,List Paragraph-ExecSummary,Table of contents numbered,Elenco num ARGEA,body,Odsek zoznamu2,Γράφημα,Bullet2,bl1,Bullet21,Bullet22,bl11"/>
    <w:basedOn w:val="Normal"/>
    <w:link w:val="ListParagraphChar"/>
    <w:uiPriority w:val="34"/>
    <w:qFormat/>
    <w:rsid w:val="00243EB5"/>
    <w:pPr>
      <w:ind w:left="720"/>
      <w:contextualSpacing/>
    </w:pPr>
  </w:style>
  <w:style w:type="character" w:customStyle="1" w:styleId="ListParagraphChar">
    <w:name w:val="List Paragraph Char"/>
    <w:aliases w:val="Table/Figure Heading Char,Listeafsnit Char,Paragraphe de liste1 Char,List_Paragraph Char,Multilevel para_II Char,List Paragraph1 Char,List Paragraph-ExecSummary Char,Table of contents numbered Char,Elenco num ARGEA Char,body Char"/>
    <w:basedOn w:val="DefaultParagraphFont"/>
    <w:link w:val="ListParagraph"/>
    <w:uiPriority w:val="34"/>
    <w:qFormat/>
    <w:locked/>
    <w:rsid w:val="000E21FA"/>
  </w:style>
  <w:style w:type="paragraph" w:styleId="FootnoteText">
    <w:name w:val="footnote text"/>
    <w:basedOn w:val="Normal"/>
    <w:link w:val="FootnoteTextChar"/>
    <w:uiPriority w:val="99"/>
    <w:unhideWhenUsed/>
    <w:rsid w:val="000E21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21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21FA"/>
    <w:rPr>
      <w:vertAlign w:val="superscript"/>
    </w:rPr>
  </w:style>
  <w:style w:type="paragraph" w:customStyle="1" w:styleId="norm">
    <w:name w:val="norm"/>
    <w:basedOn w:val="Normal"/>
    <w:link w:val="normChar"/>
    <w:rsid w:val="00D317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x-none" w:eastAsia="ru-RU"/>
    </w:rPr>
  </w:style>
  <w:style w:type="character" w:customStyle="1" w:styleId="normChar">
    <w:name w:val="norm Char"/>
    <w:link w:val="norm"/>
    <w:locked/>
    <w:rsid w:val="00D317A3"/>
    <w:rPr>
      <w:rFonts w:ascii="Arial Armenian" w:eastAsia="Times New Roman" w:hAnsi="Arial Armenian" w:cs="Times New Roman"/>
      <w:szCs w:val="20"/>
      <w:lang w:val="x-none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D317A3"/>
    <w:pPr>
      <w:spacing w:after="120" w:line="240" w:lineRule="auto"/>
      <w:ind w:left="360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317A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220C8B"/>
    <w:rPr>
      <w:rFonts w:ascii="Calibri" w:eastAsia="Calibri" w:hAnsi="Calibri" w:cs="Calibri"/>
      <w:b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C7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4A24F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7544"/>
    <w:pPr>
      <w:spacing w:after="120" w:line="480" w:lineRule="auto"/>
    </w:pPr>
    <w:rPr>
      <w:kern w:val="2"/>
      <w14:ligatures w14:val="standardContextu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7544"/>
    <w:rPr>
      <w:kern w:val="2"/>
      <w14:ligatures w14:val="standardContextual"/>
    </w:rPr>
  </w:style>
  <w:style w:type="character" w:customStyle="1" w:styleId="mechtexChar">
    <w:name w:val="mechtex Char"/>
    <w:link w:val="mechtex"/>
    <w:locked/>
    <w:rsid w:val="00707544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707544"/>
    <w:pPr>
      <w:spacing w:after="0" w:line="240" w:lineRule="auto"/>
      <w:jc w:val="center"/>
    </w:pPr>
    <w:rPr>
      <w:rFonts w:ascii="Arial Armenian" w:hAnsi="Arial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eminister.am/u_files/file/Haytararutyunner/Armenia2050_7_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rlis.am/Annexes/6/2021_N1902hav.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Annexes/6/2021_N1363ha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A60D-6308-44CF-B411-02B8C6B0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 K. Chilingaryan</dc:creator>
  <cp:keywords>https:/mul2-mineconomy.gov.am/tasks/644108/oneclick/Justification_12.04.docx?token=6c8e32aa649b3934b858f6f85bffde14</cp:keywords>
  <dc:description/>
  <cp:lastModifiedBy>Anahit H. Mkrtchyan</cp:lastModifiedBy>
  <cp:revision>2</cp:revision>
  <cp:lastPrinted>2022-11-22T08:16:00Z</cp:lastPrinted>
  <dcterms:created xsi:type="dcterms:W3CDTF">2024-05-27T13:06:00Z</dcterms:created>
  <dcterms:modified xsi:type="dcterms:W3CDTF">2024-05-27T13:06:00Z</dcterms:modified>
</cp:coreProperties>
</file>