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ՄԱՐՏԻ 26-Ի N 355-Լ ՈՐՈՇՄԱՆ ՄԵՋ ՓՈՓՈԽՈՒԹՅՈՒՆՆԵՐ ԵՎ ԼՐԱՑՈՒՄՆԵՐ ԿԱՏԱՐԵԼՈՒ ՄԱՍԻՆ» ՀԱՅԱՍՏԱՆԻ ՀԱՆՐԱՊԵՏՈՒԹՅԱՆ ԿԱՌԱՎԱՐՈՒԹՅԱՆ ՈՐՈՇՄԱՆ ՆԱԽԱԳԻԾ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ՆԱԽԱԳԻԾ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Ո Ր Ո Շ ՈՒ 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«___» ___________ 2026 թվականի N _______Լ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ԿԱՌԱՎԱՐՈՒԹՅԱՆ 2020 ԹՎԱԿԱՆԻ ՄԱՐՏԻ 26-Ի N 355-Լ ՈՐՈՇՄԱՆ ՄԵՋ ՓՈՓՈԽՈՒԹՅՈՒՆՆԵՐ ԵՎ ԼՐԱՑՈՒՄՆԵՐ ԿԱՏԱՐԵԼՈՒ ՄԱՍԻՆ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both"/>
        <w:ind w:left="0" w:right="0" w:firstLine="72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Ղեկավարվելով «Նորմատիվ իրավական ակտերի մասին» օրենքի 33-րդ և 34-րդ հոդվածներով՝ Կառավարությունը որոշում է.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</w:t>
      </w:r>
      <w:r>
        <w:rPr>
          <w:rFonts w:ascii="'Cambria Math'" w:hAnsi="'Cambria Math'" w:eastAsia="'Cambria Math'" w:cs="'Cambria Math'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Կառավարության 2020 թվականի մարտի 26-ի «Տնտեսության արդիականացման նպատակային ծրագրերը հաստատելու մասին» N 355-Լ որոշման N 1 հավելվածում կատարել հետևյալ փոփոխությունները և լրացումները.</w:t>
      </w:r>
    </w:p>
    <w:p>
      <w:pPr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կետից հետո լրացնել հետևյալ բովանդակությամբ նոր 4.1-ին կետով</w:t>
      </w:r>
      <w:r>
        <w:rPr>
          <w:rFonts w:ascii="'Cambria Math'" w:hAnsi="'Cambria Math'" w:eastAsia="'Cambria Math'" w:cs="'Cambria Math'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«4.1. Տնտեսվարողները կարող են տեղափոխել իրենց գործող վարկերը/լիզինգները մի ֆինանսական կազմակերպությունից մեկ այլ ֆինանսական կազմակերպություն։ Վարկի/լիզինգի տեղափոխման դեպքում սուբսիդավորումը շարունակվում է սույն ծրագրով սահմանված պայմաններով։»</w:t>
      </w:r>
      <w:r>
        <w:rPr>
          <w:rFonts w:ascii="'Cambria Math'" w:hAnsi="'Cambria Math'" w:eastAsia="'Cambria Math'" w:cs="'Cambria Math'"/>
          <w:sz w:val="24"/>
          <w:szCs w:val="24"/>
        </w:rPr>
        <w:t xml:space="preserve">․</w:t>
      </w:r>
    </w:p>
    <w:p>
      <w:pPr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5-րդ կետի 1-ին ենթակետը շարադրել հետևյալ խմբագրությամբ</w:t>
      </w:r>
      <w:r>
        <w:rPr>
          <w:rFonts w:ascii="'Cambria Math'" w:hAnsi="'Cambria Math'" w:eastAsia="'Cambria Math'" w:cs="'Cambria Math'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1) նոր (չօգտագործված) մեքենասարքավորումների գնում կամ ներմուծում, որոնք օգտագործվելու են Հայաստանի Հանրապետության տարածքում (այսուհետ՝ մեքենասարքավորումներ և դրանց բաղկացուցիչ մասեր)։ Սույն ենթակետով սահմանված մասով բացառություն են կազմում Հայաստանի Հանրապետության էկոնոմիկայի նախարարի 2013 թվականի սեպտեմբերի 19-ի N 874-Ն հրամանով հաստատված՝ Տնտեսական գործունեության տեսակների դասակարգիչների H «ՓՈԽԱԴՐՈՒՄ ԵՎ ՊԱՀԵՍՏԱՅԻՆ ՏՆՏԵՍՈՒԹՅՈՒՆ» բաժնի 51 դասի 51.1–51.2 խմբերին և դրանց ենթախմբերին համապատասխան գործունեության տեսակները։ Սահմանված բացառության շրջանակներում «նոր (չօգտագործված) օդային տրանսպորտային միջոց» է համարվում օդային տրանսպորտի այն միջոցը, որն արտադրվել է վերջին հինգ (5) տարիների ընթացքում, ունի գործող թռիչքի պիտանիության վկայական (certificate of airworthiness), գտնվում է տեխնիկական և շահագործային պիտանիության վիճակում՝ առանց թռիչքների ժամանակավոր արգելանքի կամ անվտանգության հետ կապված սահմանափակումների, և անցել է արտադրողի կամ միջազգային սերտիֆիկացված կազմակերպության կողմից իրականացված թռիչքային պիտանիության ստուգում (airworthiness review) ու երաշխավորված է անվտանգության միջազգային չափանիշներին համապատասխանությամբ։</w:t>
      </w:r>
      <w:r>
        <w:rPr>
          <w:rFonts w:ascii="'Cambria Math'" w:hAnsi="'Cambria Math'" w:eastAsia="'Cambria Math'" w:cs="'Cambria Math'"/>
          <w:sz w:val="24"/>
          <w:szCs w:val="24"/>
        </w:rPr>
        <w:t xml:space="preserve">․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5-րդ կետի 4-րդ ենթակետի վերջում «:» կետադրական նշանը փոխարինել «.» կետադրական նշանով.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5-րդ կետը լրացնել նոր՝ 5-րդ ենթակետով՝ հետևյալ բովանդակությամբ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«5)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«Զբոսաշրջության մասին» օրենքի 12-րդ հոդվածի 1-ին և 4-րդ մասերով սահմանված հյուրանոցային տնտեսության օբյեկտների կառուցման կամ վերակառուցման նպատակով իրականացվող կապիտալ շինարարություն Հայաստանի Հանրապետության մարզերում (բացառությամբ Երևան քաղաքի և ազատ տնտեսական գոտիների)՝ կապիտալ շինարարություն իրականացնող՝ ավելացված արժեքի հարկ վճարող կապալառու կազմակերպության ներգրավմամբ, պայմանով, որ ներդրումային նախագիծը համապատասխանում է նշված օրենքով սահմանված նվազագույն պահանջներին և ուղղված է զբոսաշրջության զարգացման պետական քաղաքականության առաջնահերթություններին։»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6-րդ կետի «բ» պարբերությունը շարադրել հետևյալ խմբագրությամբ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«բ. սուբսիդավորում՝ մինչև 42 ամիս՝ բացառությամբ սույն ծրագրի 5-րդ կետի 5-րդ ենթակետով նախատեսված դեպքերի, որոնց համար վարկի տոկոսադրույքի սուբսիդավորման ժամկետը սահմանվում է մինչև 36 ամիս»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6-րդ կետից հետո լրացնել նոր՝ 6.1 և 6.2 կետերով՝ հետևյալ բովանդակությամբ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«6.1. Սույն հավելվածի 5-րդ կետի 5-րդ ենթակետով սահմանված նպատակով տրամադրվող վարկի տոկոսադրույքի սուբսիդավորման հայտերի դեպքում ֆինանսական կազմակերպությունը հայտը ներկայացնում է Հայաստանի Հանրապետության էկոնոմիկայի նախարարության զբոսաշրջության կոմիտե (այսուհետ՝ Կոմիտե)՝ սույն ծրագրի պահանջներին և զբոսաշրջության զարգացման պետական քաղաքականության առաջնահերթություններին համապատասխանության մասնագիտական գնահատման նպատակով։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6.2. Կոմիտեն հայտը ստանալուց հետո 10 աշխատանքային օրվա ընթացքում տրամադրում է մասնագիտական եզրակացություն։ Բացասական մասնագիտական եզրակացությունը հիմք է հանդիսանում ֆինանսական կազմակերպության կողմից տվյալ վարկի սուբսիդավորման շրջանակում ներկայացված հայտը մերժելու համար՝ ծրագրի պահանջներին չհամապատասխանելու հիմքով։»</w:t>
      </w:r>
      <w:r>
        <w:rPr>
          <w:rFonts w:ascii="'Cambria Math'" w:hAnsi="'Cambria Math'" w:eastAsia="'Cambria Math'" w:cs="'Cambria Math'"/>
          <w:lang w:val="hy-HY"/>
          <w:sz w:val="24"/>
          <w:szCs w:val="24"/>
        </w:rPr>
        <w:t xml:space="preserve">․</w:t>
      </w:r>
    </w:p>
    <w:p>
      <w:pPr>
        <w:jc w:val="both"/>
        <w:ind w:left="0" w:right="0" w:firstLine="36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9-րդ և 10-րդ կետերը շարադրել հետևյալ խմբագրությամբ.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«9. Հայաստանի Հանրապետության դրամով վարկի սուբսիդավորման չափերը, կախված նպատակից, հետևյալն են.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Աղյուսակ 1</w:t>
      </w:r>
    </w:p>
    <w:tbl>
      <w:tblGrid>
        <w:gridCol w:w="0" w:type="dxa"/>
        <w:gridCol w:w="300" w:type="dxa"/>
      </w:tblGrid>
      <w:tblPr>
        <w:tblW w:w="9930" w:type="dxa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Նպատակը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Սուբսիդավորման չափը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Մեքենասարքավորումներ և դրանց բաղկացուցիչ մասերի վարկ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6%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Մեքենասարքավորումներ և դրանց բաղկացուցիչ մասերի լիզինգ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8%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Կապիտալ շինարարության վարկ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6%</w:t>
            </w:r>
          </w:p>
        </w:tc>
      </w:tr>
      <w:tr>
        <w:trPr>
          <w:trHeight w:val="323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Կապիտալ շինարարության լիզինգ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8%</w:t>
            </w:r>
          </w:p>
        </w:tc>
      </w:tr>
      <w:tr>
        <w:trPr/>
        <w:tc>
          <w:tcPr>
            <w:tcW w:w="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Բիզնես գործընթացների թվայնացման ծրագրային ապահովման վարկ։ Արտադրողականության խորհրդատվության վարկ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6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%</w:t>
            </w:r>
          </w:p>
        </w:tc>
      </w:tr>
      <w:tr>
        <w:trPr>
          <w:trHeight w:val="350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Բիզնես գործընթացների թվայնացման ծրագրային ապահովման լիզինգ։ Արտադրողականության խորհրդատվության լիզինգ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8</w:t>
            </w: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%</w:t>
            </w:r>
          </w:p>
        </w:tc>
      </w:tr>
      <w:tr>
        <w:trPr>
          <w:trHeight w:val="350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Հայաստանի Հանրապետության մարզերում (բացառությամբ Երևան քաղաքի) հյուրանոցային տնտեսության օբյեկտների կառուցման կամ վերակառուցման նպատակով տրամադրվող վարկ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5%</w:t>
            </w:r>
          </w:p>
        </w:tc>
      </w:tr>
    </w:tbl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10.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Արտարժույթով վարկի/լիզինգի սուբսիդավորման չափերը, կախված նպատակից, հետևյալն են՝</w:t>
      </w:r>
    </w:p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Աղյուսակ 2</w:t>
      </w:r>
    </w:p>
    <w:tbl>
      <w:tblGrid>
        <w:gridCol w:w="0" w:type="dxa"/>
        <w:gridCol w:w="300" w:type="dxa"/>
      </w:tblGrid>
      <w:tblPr>
        <w:tblW w:w="9930" w:type="dxa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>
          <w:trHeight w:val="630" w:hRule="exact"/>
        </w:trPr>
        <w:tc>
          <w:tcPr>
            <w:tcW w:w="0" w:type="dxa"/>
            <w:vAlign w:val="top"/>
            <w:noWrap/>
          </w:tcPr>
          <w:p>
            <w:pPr>
              <w:jc w:val="center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Նպատակը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Սուբսիդավորման չափը</w:t>
            </w:r>
          </w:p>
        </w:tc>
      </w:tr>
      <w:tr>
        <w:trPr>
          <w:trHeight w:val="447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Մեքենասարքավորումներ և դրանց բաղկացուցիչ մասերի վարկ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4 %</w:t>
            </w:r>
          </w:p>
        </w:tc>
      </w:tr>
      <w:tr>
        <w:trPr>
          <w:trHeight w:val="287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Մեքենասարքավորումներ և դրանց բաղկացուցիչ մասերի լիզինգ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6 %</w:t>
            </w:r>
          </w:p>
        </w:tc>
      </w:tr>
      <w:tr>
        <w:trPr>
          <w:trHeight w:val="469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Կապիտալ շինարարության վարկ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4 %</w:t>
            </w:r>
          </w:p>
        </w:tc>
      </w:tr>
      <w:tr>
        <w:trPr>
          <w:trHeight w:val="454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Կապիտալ շինարարության լիզինգ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6 %</w:t>
            </w:r>
          </w:p>
        </w:tc>
      </w:tr>
      <w:tr>
        <w:trPr>
          <w:trHeight w:val="728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Բիզնես գործընթացների թվայնացման ծրագրային ապահովման վարկ։ Արտադրողականության խորհրդատվության վարկ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4 %</w:t>
            </w:r>
          </w:p>
        </w:tc>
      </w:tr>
      <w:tr>
        <w:trPr>
          <w:trHeight w:val="602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Բիզնես գործընթացների թվայնացման ծրագրային ապահովման լիզինգ։ Արտադրողականության խորհրդատվության լիզինգ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6 %</w:t>
            </w:r>
          </w:p>
        </w:tc>
      </w:tr>
      <w:tr>
        <w:trPr>
          <w:trHeight w:val="332" w:hRule="exact"/>
        </w:trPr>
        <w:tc>
          <w:tcPr>
            <w:tcW w:w="0" w:type="dxa"/>
            <w:vAlign w:val="top"/>
            <w:noWrap/>
          </w:tcPr>
          <w:p>
            <w:pPr>
              <w:jc w:val="both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Հայաստանի Հանրապետության մարզերում (բացառությամբ Երևան քաղաքի և ազատ տնտեսական գոտիների) հյուրանոցային տնտեսության օբյեկտների կառուցման կամ վերակառուցման նպատակով տրամադրվող վարկ</w:t>
            </w:r>
          </w:p>
        </w:tc>
        <w:tc>
          <w:tcPr>
            <w:tcW w:w="300" w:type="dxa"/>
            <w:vAlign w:val="top"/>
            <w:noWrap/>
          </w:tcPr>
          <w:p>
            <w:pPr>
              <w:jc w:val="center"/>
              <w:spacing w:before="0" w:after="0" w:line="360" w:lineRule="auto"/>
            </w:pPr>
            <w:r>
              <w:rPr>
                <w:rFonts w:ascii="'GHEA Grapalat'" w:hAnsi="'GHEA Grapalat'" w:eastAsia="'GHEA Grapalat'" w:cs="'GHEA Grapalat'"/>
                <w:sz w:val="24"/>
                <w:szCs w:val="24"/>
              </w:rPr>
              <w:t xml:space="preserve">3 %</w:t>
            </w:r>
          </w:p>
        </w:tc>
      </w:tr>
    </w:tbl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15-րդ կետի աղյուսակում «D(ԴԻ) «ԷԼԵԿՏՐԱԿԱՆՈՒԹՅԱՆ, ԳԱԶԻ, ԳՈԼՈՐՇՈՒ ԵՎ ԼԱՎՈՐԱԿ ՕԴԻ ՄԱՏԱԿԱՐԱՐՈՒՄ»» բառերը փոխարինել D(ԴԻ) «ԷԼԵԿՏՐԱԿԱՆՈՒԹՅԱՆ, ԳԱԶԻ, ԳՈԼՈՐՇՈՒ ԵՎ ԼԱՎՈՐԱԿ ՕԴԻ ՄԱՏԱԿԱՐԱՐՈՒՄ» (բացառությամբ 35.11.5 «Էլեկտրաէներգիայի արտադրություն արևային էլեկտրակայաններում»)» բառերով և նույն աղյուսակում կատարել լրացում՝ համաձայն նախագծի։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9)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15-րդ կետով սահմանված աղյուսակում կատարել հետևյալ լրացումը՝ </w:t>
      </w:r>
    </w:p>
    <w:p>
      <w:pPr>
        <w:jc w:val="both"/>
        <w:ind w:left="0" w:right="0" w:firstLine="566.9291338582676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«Տնտեսական գործունեության տեսակների «Գործունեության նպատակ» սյունակում «D (ԴԻ) ԷԼԵԿՏՐԱԿԱՆՈՒԹՅԱՆ, ԳԱԶԻ, ԳՈԼՈՐՇՈՒ ԵՎ ԼԱՎՈՐԱԿ ՕԴԻ ՄԱՏԱԿԱՐԱՐՈՒՄ» տողից հետո ավելացնել նոր տող՝ </w:t>
      </w:r>
    </w:p>
    <w:tbl>
      <w:tblGrid>
        <w:gridCol w:w="0" w:type="dxa"/>
        <w:gridCol w:w="1700" w:type="dxa"/>
        <w:gridCol w:w="60" w:type="dxa"/>
        <w:gridCol w:w="0" w:type="dxa"/>
      </w:tblGrid>
      <w:tblPr>
        <w:tblW w:w="10890" w:type="dxa"/>
        <w:tblCellSpacing w:w="0" w:type="dxa"/>
        <w:tblLayout w:type="autofit"/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>
          <w:trHeight w:val="2068" w:hRule="exact"/>
        </w:trPr>
        <w:tc>
          <w:tcPr>
            <w:tcW w:w="0" w:type="dxa"/>
            <w:vAlign w:val="top"/>
            <w:noWrap/>
          </w:tcPr>
          <w:p>
            <w:pPr>
              <w:jc w:val="end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 </w:t>
            </w:r>
          </w:p>
        </w:tc>
        <w:tc>
          <w:tcPr>
            <w:tcW w:w="1700" w:type="dxa"/>
            <w:vAlign w:val="top"/>
            <w:noWrap/>
          </w:tcPr>
          <w:p>
            <w:pPr>
              <w:jc w:val="center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sz w:val="24"/>
                <w:szCs w:val="24"/>
              </w:rPr>
              <w:t xml:space="preserve">E (Ի) 38.2 ԹԱՓՈՆՆԵՐԻ ՄՇԱԿՈՒՄ ԵՎ ՈՉՆՉԱՑՈՒՄ</w:t>
            </w:r>
          </w:p>
        </w:tc>
        <w:tc>
          <w:tcPr>
            <w:tcW w:w="6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մեքենասարքավորումների և դրանց բաղկացուցիչ մասերի ձեռքբերում;</w:t>
            </w:r>
          </w:p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կապիտալ շինարարության իրականացում; բիզնես գործընթացների թվայնացման ծրագրային ապահովում; արտադրողականության խորհրդատվություն</w:t>
            </w:r>
          </w:p>
        </w:tc>
        <w:tc>
          <w:tcPr>
            <w:tcW w:w="0" w:type="dxa"/>
            <w:vAlign w:val="top"/>
            <w:noWrap/>
          </w:tcPr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 </w:t>
            </w:r>
          </w:p>
          <w:p>
            <w:pPr>
              <w:jc w:val="both"/>
              <w:spacing w:after="0" w:line="360" w:lineRule="auto"/>
            </w:pPr>
            <w:r>
              <w:rPr>
                <w:rFonts w:ascii="'GHEA Grapalat'" w:hAnsi="'GHEA Grapalat'" w:eastAsia="'GHEA Grapalat'" w:cs="'GHEA Grapalat'"/>
                <w:lang w:val="hy-HY"/>
                <w:color w:val="black"/>
                <w:sz w:val="24"/>
                <w:szCs w:val="24"/>
              </w:rPr>
              <w:t xml:space="preserve"></w:t>
            </w:r>
            <w:r>
              <w:rPr>
                <w:rFonts w:ascii="'Cambria Math'" w:hAnsi="'Cambria Math'" w:eastAsia="'Cambria Math'" w:cs="'Cambria Math'"/>
                <w:lang w:val="hy-HY"/>
                <w:color w:val="black"/>
                <w:sz w:val="24"/>
                <w:szCs w:val="24"/>
              </w:rPr>
              <w:t xml:space="preserve">․</w:t>
            </w:r>
          </w:p>
        </w:tc>
      </w:tr>
    </w:tbl>
    <w:p>
      <w:pPr>
        <w:jc w:val="both"/>
        <w:ind w:left="0" w:right="0" w:firstLine="36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10)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22-րդ կետի 1-ին ենթակետում «2023 թվականի տարեկան ծավալի» բառերը փոխարինել «նախորդ տարվա» բառերով: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Մինչև սույն որոշումն ուժի մեջ մտնելը կնքված պայմանագրերի շրջանակներում տրամադրված, ինչպես նաև ֆինանսական կազմակերպությունների կողմից հաստատված (դեռևս չտրամադրված) վարկերի և լիզինգի սպասարկումը սույն որոշումն ուժի մեջ մտնելուց հետո շարունակվում է իրականացվել միևնույն պայմաններով։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3.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Սույն որոշումն ուժի մեջ է մտնում հրապարակմանը հաջորդող օրվանից։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 </w:t>
      </w:r>
    </w:p>
    <w:p>
      <w:pPr>
        <w:spacing w:line="360" w:lineRule="auto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2026-04-04T16:59:31+04:00</dcterms:created>
  <dcterms:modified xsi:type="dcterms:W3CDTF">2026-04-04T16:59:31+04:00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