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«ՎԱՐՉԱԿԱՆ ԻՐԱՎԱԽԱԽՏՈՒՄՆԵՐԻ ՎԵՐԱԲԵՐՅԱԼ ՀԱՅԱՍՏԱՆԻ ՀԱՆՐԱՊԵՏՈՒԹՅԱՆ ՕՐԵՆՍԳՐՔՈՒՄ ՓՈՓՈԽՈՒԹՅՈՒՆՆԵՐ ԵՎ ԼՐԱՑՈՒՄՆԵՐ ԿԱՏԱՐԵԼՈՒ ՄԱՍԻՆ» ՀԱՅԱՍՏԱՆԻ ՀԱՆՐԱՊԵՏՈՒԹՅԱՆ ՕՐԵՆՔՈՒՄ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ՎԱՐՉԱԿԱՆ</w:t>
      </w:r>
      <w:r>
        <w:rPr/>
        <w:t xml:space="preserve"> </w:t>
      </w:r>
      <w:r>
        <w:rPr>
          <w:b w:val="1"/>
          <w:bCs w:val="1"/>
        </w:rPr>
        <w:t xml:space="preserve">ԻՐԱՎԱԽԱԽՏՈՒՄՆԵՐԻ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«Վարչական իրավախախտումների վերաբերյալ Հայաստանի Հանրապետության օրենսգրքում փոփոխություններ և լրացումներ կատարելու մասին» Հայաստանի Հանրապետության 2015 թվականի  դեկտեմբերի 21-ի ՀՕ-178-Ն   օրենքի</w:t>
      </w:r>
    </w:p>
    <w:p>
      <w:pPr>
        <w:jc w:val="both"/>
      </w:pPr>
      <w:r>
        <w:rPr/>
        <w:t xml:space="preserve">(այսուհետ` Օրենք) 20-րդ հոդվածի 3-րդ մասը շարադրել հետևյալ խմբագրությամբ.</w:t>
      </w:r>
    </w:p>
    <w:p>
      <w:pPr>
        <w:jc w:val="both"/>
      </w:pPr>
      <w:r>
        <w:rPr/>
        <w:t xml:space="preserve">«3. Վարչական իրավախախտում կատարած անձինք ազատվում են մինչև 2018 թվականի հունվարի 1-ը Վարչական իրավախախտումների վերաբերյալ Հայաստանի Հանրապետության օրենսգրքի 123-րդ, 123.1-ին (բացառությամբ 2-րդ մասով նախատեսված իրավախախտումների), 123.3-րդ, 123.4-րդ, 123.5-րդ (բացառությամբ`4-րդ,  4.1-ին, 4.2-րդ, 5-րդ, 7-րդ, 8-րդ, 9-րդ և 10-րդ մասերով նախատեսված իրավախախտումների), 123.6-րդ, 123.7-րդ, 124-րդ (բացառությամբ` 31-րդ և 32-րդ մասերով նախատեսված իրավախախտումների), 124.1-ին, 124.2-րդ, 124.3-րդ, 124.4-րդ (բացառությամբ 3-րդ, 4-րդ և 5-րդ մասերով նախատեսված իրավախախտումների), 124.6-րդ, 124.7-րդ, 125-րդ, 128-րդ, 129.2-րդ (բացառությամբ 2-րդ և 3-րդ մասերով նախատեսված իրավախախտումների), 131-րդ, 132-րդ, 135.2-րդ և 140-րդ  հոդվածներով նախատեսված վարչական իրավախախտում կատարելու համար վարչական  ակտով նախատեսված տուգանքի գումարի չվճարած մասը և «Դատական ակտերի հարկադիր կատարման մասին» Հայաստանի Հանրապետության օրենքի 67-րդ հոդվածով նախատեսված կատարողական գործողությունների կատարման ծախսերը վճարելու պարտականությունից:»:</w:t>
      </w:r>
    </w:p>
    <w:p>
      <w:pPr>
        <w:jc w:val="both"/>
      </w:pPr>
      <w:r>
        <w:rPr>
          <w:b w:val="1"/>
          <w:bCs w:val="1"/>
        </w:rPr>
        <w:t xml:space="preserve">Հոդված 2.  </w:t>
      </w:r>
      <w:r>
        <w:rPr/>
        <w:t xml:space="preserve">Օրենքի 20-րդ հոդվածի 4-րդ մասն ուժը կորցրած ճանաչել: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հրապարակմանը հաջորդող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2026-03-31T16:11:28+04:00</dcterms:created>
  <dcterms:modified xsi:type="dcterms:W3CDTF">2026-03-31T16:11:28+04:00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