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2020 ԹՎԱԿԱՆԻ ԴԵԿՏԵՄԲԵՐԻ 3-Ի ԹԻՎ 1976-Ն ՈՐՈՇՄԱՆ ՄԵՋ ԼՐԱՑՈՒՄ ԿԱՏԱՐԵԼՈՒ ՄԱՍԻՆ» ՀԱՅԱՍՏԱՆԻ ՀԱՆՐԱՊԵՏՈՒԹՅԱՆ ԿԱՌԱՎԱՐՈՒԹՅԱՆ ՈՐՈՇՄԱՆ ՆԱԽԱԳԻԾ</w:t>
      </w:r>
      <w:bookmarkEnd w:id="0"/>
    </w:p>
    <w:p>
      <w:pPr>
        <w:jc w:val="end"/>
      </w:pPr>
      <w:r>
        <w:rPr/>
        <w:t xml:space="preserve">Նախագիծ</w:t>
      </w:r>
    </w:p>
    <w:p>
      <w:pPr/>
      <w:r>
        <w:rPr/>
        <w:t xml:space="preserve"> </w:t>
      </w:r>
    </w:p>
    <w:p>
      <w:pPr/>
      <w:r>
        <w:rPr/>
        <w:t xml:space="preserve"> </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 </w:t>
      </w:r>
    </w:p>
    <w:p>
      <w:pPr>
        <w:jc w:val="center"/>
      </w:pPr>
      <w:r>
        <w:rPr/>
        <w:t xml:space="preserve">ՙ       ՚ ----------- 2025 թվականի N       -Ն</w:t>
      </w:r>
    </w:p>
    <w:p>
      <w:pPr>
        <w:jc w:val="center"/>
      </w:pPr>
      <w:r>
        <w:rPr/>
        <w:t xml:space="preserve"> </w:t>
      </w:r>
    </w:p>
    <w:p>
      <w:pPr>
        <w:jc w:val="center"/>
      </w:pPr>
      <w:r>
        <w:rPr/>
        <w:t xml:space="preserve">ՀԱՅԱՍՏԱՆԻ ՀԱՆՐԱՊԵՏՈՒԹՅԱՆ ԿԱՌԱՎԱՐՈՒԹՅԱՆ 2020 ԹՎԱԿԱՆԻ</w:t>
      </w:r>
    </w:p>
    <w:p>
      <w:pPr>
        <w:jc w:val="center"/>
      </w:pPr>
      <w:r>
        <w:rPr/>
        <w:t xml:space="preserve">ԴԵԿՏԵՄԲԵՐԻ 3-Ի N 1976-Ն ՈՐՈՇՄԱՆ ՄԵՋ ԼՐԱՑՈՒՄ ԿԱՏԱՐԵԼՈՒ ՄԱՍԻՆ</w:t>
      </w:r>
    </w:p>
    <w:p>
      <w:pPr/>
      <w:r>
        <w:rPr/>
        <w:t xml:space="preserve"> </w:t>
      </w:r>
    </w:p>
    <w:p>
      <w:pPr/>
      <w:r>
        <w:rPr/>
        <w:t xml:space="preserve">Ղեկավարվելով «Նորմատիվ իրավական ակտերի մասին» օրենքի 33-րդ և 34-րդ հոդվածների 1-ին մասերով՝ Հայաստանի Հանրապետության կառավարությունը </w:t>
      </w:r>
      <w:r>
        <w:rPr>
          <w:b w:val="1"/>
          <w:bCs w:val="1"/>
        </w:rPr>
        <w:t xml:space="preserve">որոշում</w:t>
      </w:r>
      <w:r>
        <w:rPr>
          <w:b w:val="1"/>
          <w:bCs w:val="1"/>
        </w:rPr>
        <w:t xml:space="preserve"> է</w:t>
      </w:r>
      <w:r>
        <w:rPr>
          <w:b w:val="1"/>
          <w:bCs w:val="1"/>
        </w:rPr>
        <w:t xml:space="preserve">.</w:t>
      </w:r>
    </w:p>
    <w:p>
      <w:pPr>
        <w:numPr>
          <w:ilvl w:val="0"/>
          <w:numId w:val="2"/>
        </w:numPr>
      </w:pPr>
      <w:r>
        <w:rPr/>
        <w:t xml:space="preserve">Հայաստանի Հանրապետության կառավարության 2020 թվականի դեկտեմբերի 3-ի «Հսկիչ դրամարկղային մեքենային և ցանցային կապի միջոցներին ներկայացվող տեխնիկական պահանջները, հսկիչ դրամարկղային մեքենան հարկային մարմնում գրանցման և գրանցումից հանման կարգը, հսկիչ դրամարկղային մեքենայի կիրառության կանոնները հաստատելու, էլեկտրոնային հսկիչ դրամարկղային մեքենայի էլեկտրոնային կտրոնի դուրս գրման կարգը, էլեկտրոնային հսկիչ դրամարկղային մեքենաների տեխնիկական պահանջները, դրանց հաշվառման, հաշվառումից հանման կարգը, դրանց միջոցով տրամադրվող էլեկտրոնային կտրոնի պարտադիր վավերապայմաններին ներկայացվող, ինչպես նաև ինտերնետային կայքին կամ էլեկտրոնային հավելվածին (էլեկտրոնային առևտրային հարթակին) ներկայացվող պահանջները, էլեկտրոնային հարթակով ուղևորափոխադրումների, կազմակերպությունների, անհատ ձեռնարկատերերի կամ ֆիզիկական անձանց կողմից մարդատար տաքսի ավտոմոբիլներով ուղևորափոխադրումների իրականացման դեպքում կիրառության կանոնները սահմանելու և Հայաստանի Հանրապետության կառավարության 2017 թվականի հոկտեմբերի 5-ի n 1318-Ն որոշումն ուժը կորցրած ճանաչելու մասին» N 1976-Ն որոշման 3-րդ հավելվածում 16-րդ կետից հետո լրացնել 16.1-ին կետ՝ հետևյալ բովանդակությամբ.</w:t>
      </w:r>
    </w:p>
    <w:p>
      <w:pPr/>
      <w:r>
        <w:rPr/>
        <w:t xml:space="preserve">«16.1. Բժշկական ծառայությունների մատուցման դեպքում ՀԴՄ կտրոնի վրա օրենսգրքով սահմանված տվյալներից բացի տպագրվում է նաև յուրաքանչյուր ծառայության համար էլեկտրոնային առողջապահության համակարգի կողմից գեներացված ծառայության անհատականացված նույնականացման ծածկագիրը:»։</w:t>
      </w:r>
    </w:p>
    <w:p>
      <w:pPr>
        <w:numPr>
          <w:ilvl w:val="0"/>
          <w:numId w:val="3"/>
        </w:numPr>
      </w:pPr>
      <w:r>
        <w:rPr/>
        <w:t xml:space="preserve">Հայաստանի Հանրապետության էկոնոմիկայի նախարարին՝ սույն որոշումն ուժի մեջ մտնելուց հետո մեկամսյա ժամկետում ապահովել Հայաստանի Հանրապետության էկոնոմիկայի նախարարի 2002 թվականի փետրվարի 15-ի N 151 հրամանով սահմանված «Հաշիվ-ապրանքագիր» (Ձև Պ-41)-ում պահանջի սահմանումը, համաձայն որի՝ բժշկական ծառայությունների մատուցման դեպքում դուրս գրվող հաշիվ-ապրանքագրում պարտադիր նշվում է յուրաքանչյուր ծառայության համար էլեկտրոնային առողջապահության համակարգի կողմից գեներացված ծառայության անհատականացված նույնականացման ծածկագիրը։</w:t>
      </w:r>
    </w:p>
    <w:p>
      <w:pPr>
        <w:numPr>
          <w:ilvl w:val="0"/>
          <w:numId w:val="3"/>
        </w:numPr>
      </w:pPr>
      <w:r>
        <w:rPr/>
        <w:t xml:space="preserve">Սույն որոշումն ուժի մեջ է պաշտոնական հրապարակման օրվան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8017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30451C3"/>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2026-04-01T16:44:29+04:00</dcterms:created>
  <dcterms:modified xsi:type="dcterms:W3CDTF">2026-04-01T16:44:29+04:00</dcterms:modified>
</cp:coreProperties>
</file>

<file path=docProps/custom.xml><?xml version="1.0" encoding="utf-8"?>
<Properties xmlns="http://schemas.openxmlformats.org/officeDocument/2006/custom-properties" xmlns:vt="http://schemas.openxmlformats.org/officeDocument/2006/docPropsVTypes"/>
</file>