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ՆԵՐՀԱՄԱՅՆՔԱՅԻՆ ԱՎՏՈԲՈՒՍԱՅԻՆ ԿԱՆՈՆԱՎՈՐ ՓՈԽԱԴՐՈՒՄՆԵՐԻ ՍՊԱՍԱՐԿՈՒՄԸ ԳՆՄԱՆ ԳՈՐԾԸՆԹԱՑԻ ՄԻՋՈՑՈՎ ԿԱԶՄԱԿԵՐՊԵԼՈՒ ՊԱՀԱՆՋՆԵՐԸ ՀԱՍՏԱՏԵԼՈՒ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«—-»---------</w:t>
      </w:r>
      <w:r>
        <w:rPr/>
        <w:t xml:space="preserve"> 2025 թվականի N-————Ն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ՆԵՐՀԱՄԱՅՆՔԱՅԻՆ ԱՎՏՈԲՈՒՍԱՅԻՆ ԿԱՆՈՆԱՎՈՐ ՓՈԽԱԴՐՈՒՄՆԵՐԻ ՍՊԱՍԱՐԿՈՒՄԸ ԳՆՄԱՆ ԳՈՐԾԸՆԹԱՑԻ ՄԻՋՈՑՈՎ ԿԱԶՄԱԿԵՐՊԵԼՈՒ ՊԱՀԱՆՋՆԵՐԸ ՀԱՍՏԱՏԵԼՈՒ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«Ավտոմոբիլային տրանսպորտի մասին» օրենքի 11․1-ին հոդվածի 6-րդ մասի պահանջներով՝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 ներհամայնքային ավտոբուսային կանոնավոր փոխադրումների սպասարկումը գնման գործընթացի միջոցով կազմակերպելու պահանջները՝ համաձայն հավելվածի։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տասներորդ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վարչապետ                                                                     Ն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ՀՀ կառավարության</w:t>
      </w:r>
    </w:p>
    <w:p>
      <w:pPr/>
      <w:r>
        <w:rPr/>
        <w:t xml:space="preserve">«---»------2025թ․ N----- Ն 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ՊԱՀԱՆՋՆԵՐ</w:t>
      </w:r>
    </w:p>
    <w:p>
      <w:pPr/>
      <w:r>
        <w:rPr>
          <w:b w:val="1"/>
          <w:bCs w:val="1"/>
        </w:rPr>
        <w:t xml:space="preserve">ՆԵՐՀԱՄԱՅՆՔԱՅԻՆ ԱՎՏՈԲՈՒՍԱՅԻՆ ԿԱՆՈՆԱՎՈՐ ՓՈԽԱԴՐՈՒՄՆԵՐԻ ՍՊԱՍԱՐԿՈՒՄԸ ԳՆՄԱՆ ԳՈՐԾԸՆԹԱՑԻ ՄԻՋՈՑՈՎ ԿԱԶՄԱԿԵՐՊԵԼՈՒ </w:t>
      </w:r>
    </w:p>
    <w:p>
      <w:pPr/>
      <w:r>
        <w:rPr/>
        <w:t xml:space="preserve"> </w:t>
      </w:r>
    </w:p>
    <w:p>
      <w:pPr/>
      <w:r>
        <w:rPr/>
        <w:t xml:space="preserve">1․ Սույն պահանջներով սահմանվում են ներհամայնքային ավտոբուսային կանոնավոր փոխադրումների սպասարկումը գնման գործընթացի միջոցով կազմակերպելու պահանջները։</w:t>
      </w:r>
    </w:p>
    <w:p>
      <w:pPr/>
      <w:r>
        <w:rPr/>
        <w:t xml:space="preserve">2․ Գնման գործընթացի միջոցով ներհամայնքային ավտոբուսային կանոնավոր փոխադրումների երթուղիների (այսուհետ՝ ներհամայնքային երթուղիներ) սպասարկումը կազմակերպվում է «Գնումների մասին» օրենքի պահանջներին համապատասխան։</w:t>
      </w:r>
    </w:p>
    <w:p>
      <w:pPr/>
      <w:r>
        <w:rPr/>
        <w:t xml:space="preserve">3․ Ներհամայնքային երթուղիները (բացառությամբ բազմաբնակավայր համայնքների բնակավայրերի միջև) սպասարկող բոլոր տրանսպորտային միջոցները պետք է մատչելի լինեն տեղաշարժվելու, տեսողության և լսողության խնդիրներ ունեցող անձանց (այսուհետ՝ հաշմանդամություն ունեցող անձ) և համապատասխանեն հաշմանդամություն ունեցող անձանց համար մատչելի կամ հարմարեցված ԳՕՍՏ 30478-96 ստանդարտի պահանջներին։</w:t>
      </w:r>
    </w:p>
    <w:p>
      <w:pPr/>
      <w:r>
        <w:rPr/>
        <w:t xml:space="preserve">4․ Գնման գործընթացի միջոցով կազմակերպվող ներհամայնքային  երթուղիների  սպասարկումն իրականացվում է չվացուցակի և սահմանված ուղեգծով երթուղու սխեմայի  հիման վրա: </w:t>
      </w:r>
    </w:p>
    <w:p>
      <w:pPr/>
      <w:r>
        <w:rPr/>
        <w:t xml:space="preserve">5․ Ներհամայնքային երթուղիների չվացուցակները և երթուղու սխեման հաստատում է համապատասխան համայնքի ղեկավարը «Ավտոմոբիլային տրանսպորտի մասին» օրենքի 10-րդ հոդվածի պահանջներին համապատասխան։</w:t>
      </w:r>
    </w:p>
    <w:p>
      <w:pPr>
        <w:numPr>
          <w:ilvl w:val="0"/>
          <w:numId w:val="3"/>
        </w:numPr>
      </w:pPr>
      <w:r>
        <w:rPr/>
        <w:t xml:space="preserve">Գնման գործընթացի շրջանակկներում ներհամայնքային երթուղիները սպասարկող տրանսպորտային միջոցների տեխնիկական բնութագիրը սահմանվում է Ձև 1-ում նախատեսված չափորոշիչներին համապատասխան։</w:t>
      </w:r>
    </w:p>
    <w:p>
      <w:pPr/>
      <w:r>
        <w:rPr/>
        <w:t xml:space="preserve">Ձև 1</w:t>
      </w:r>
    </w:p>
    <w:tbl>
      <w:tblGrid>
        <w:gridCol w:w="1035" w:type="dxa"/>
        <w:gridCol w:w="8310" w:type="dxa"/>
      </w:tblGrid>
      <w:tblPr>
        <w:tblW w:w="5000" w:type="pct"/>
        <w:tblLayout w:type="autofit"/>
      </w:tblPr>
      <w:tr>
        <w:trPr>
          <w:tblHeader w:val="1"/>
        </w:trPr>
        <w:tc>
          <w:tcPr>
            <w:tcW w:w="1035" w:type="dxa"/>
            <w:noWrap/>
          </w:tcPr>
          <w:p>
            <w:pPr/>
            <w:r>
              <w:rPr>
                <w:b w:val="1"/>
                <w:bCs w:val="1"/>
              </w:rPr>
              <w:t xml:space="preserve">№ Հ/Հ</w:t>
            </w:r>
          </w:p>
        </w:tc>
        <w:tc>
          <w:tcPr>
            <w:tcW w:w="8310" w:type="dxa"/>
            <w:noWrap/>
          </w:tcPr>
          <w:p>
            <w:pPr/>
            <w:r>
              <w:rPr>
                <w:b w:val="1"/>
                <w:bCs w:val="1"/>
              </w:rPr>
              <w:t xml:space="preserve">Անվանումը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1․</w:t>
            </w:r>
          </w:p>
        </w:tc>
        <w:tc>
          <w:tcPr>
            <w:tcW w:w="8310" w:type="dxa"/>
            <w:noWrap/>
          </w:tcPr>
          <w:p>
            <w:pPr/>
            <w:r>
              <w:rPr>
                <w:b w:val="1"/>
                <w:bCs w:val="1"/>
              </w:rPr>
              <w:t xml:space="preserve">Ընդհանուր պահանջներ՝</w:t>
            </w:r>
          </w:p>
          <w:p>
            <w:pPr/>
            <w:r>
              <w:rPr/>
              <w:t xml:space="preserve">-          </w:t>
            </w:r>
            <w:r>
              <w:rPr>
                <w:b w:val="1"/>
                <w:bCs w:val="1"/>
              </w:rPr>
              <w:t xml:space="preserve">Շարժակազմի տիպ</w:t>
            </w:r>
          </w:p>
          <w:p>
            <w:pPr/>
            <w:r>
              <w:rPr/>
              <w:t xml:space="preserve">-          </w:t>
            </w:r>
            <w:r>
              <w:rPr>
                <w:b w:val="1"/>
                <w:bCs w:val="1"/>
              </w:rPr>
              <w:t xml:space="preserve">Շարժակազմի տեսակ</w:t>
            </w:r>
          </w:p>
          <w:p>
            <w:pPr/>
            <w:r>
              <w:rPr/>
              <w:t xml:space="preserve">-          </w:t>
            </w:r>
            <w:r>
              <w:rPr>
                <w:b w:val="1"/>
                <w:bCs w:val="1"/>
              </w:rPr>
              <w:t xml:space="preserve">Արտադրման տարեթիվ</w:t>
            </w:r>
          </w:p>
          <w:p>
            <w:pPr/>
            <w:r>
              <w:rPr/>
              <w:t xml:space="preserve">-          </w:t>
            </w:r>
            <w:r>
              <w:rPr>
                <w:b w:val="1"/>
                <w:bCs w:val="1"/>
              </w:rPr>
              <w:t xml:space="preserve">Պահանջվող նորմատիվ իրավական ակտերին համապատասխանություն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8310" w:type="dxa"/>
            <w:noWrap/>
          </w:tcPr>
          <w:p>
            <w:pPr/>
            <w:r>
              <w:rPr>
                <w:b w:val="1"/>
                <w:bCs w:val="1"/>
              </w:rPr>
              <w:t xml:space="preserve">Տեղատարողություն՝</w:t>
            </w:r>
          </w:p>
          <w:p>
            <w:pPr/>
            <w:r>
              <w:rPr/>
              <w:t xml:space="preserve">- ընդհանուր տեղատարողություն, ուղևոր</w:t>
            </w:r>
          </w:p>
          <w:p>
            <w:pPr/>
            <w:r>
              <w:rPr/>
              <w:t xml:space="preserve">- նստատեղերի քանակ, հատ</w:t>
            </w:r>
          </w:p>
          <w:p>
            <w:pPr/>
            <w:r>
              <w:rPr/>
              <w:t xml:space="preserve">- շարժակազմի սրահում հաշմանդամություն ունեցող անձանց համար կահավորված նստատեղերի քանակ, հատ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8310" w:type="dxa"/>
            <w:noWrap/>
          </w:tcPr>
          <w:p>
            <w:pPr/>
            <w:r>
              <w:rPr>
                <w:b w:val="1"/>
                <w:bCs w:val="1"/>
              </w:rPr>
              <w:t xml:space="preserve">Շարժակազմի չափսեր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ա․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Չափսեր՝</w:t>
            </w:r>
          </w:p>
          <w:p>
            <w:pPr/>
            <w:r>
              <w:rPr/>
              <w:t xml:space="preserve">-          երկարություն, մմ․</w:t>
            </w:r>
          </w:p>
          <w:p>
            <w:pPr/>
            <w:r>
              <w:rPr/>
              <w:t xml:space="preserve">-          լայնություն, մմ․</w:t>
            </w:r>
          </w:p>
          <w:p>
            <w:pPr/>
            <w:r>
              <w:rPr/>
              <w:t xml:space="preserve">-          բարձրություն, մմ․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3)</w:t>
            </w:r>
          </w:p>
        </w:tc>
        <w:tc>
          <w:tcPr>
            <w:tcW w:w="8310" w:type="dxa"/>
            <w:noWrap/>
          </w:tcPr>
          <w:p>
            <w:pPr/>
            <w:r>
              <w:rPr>
                <w:b w:val="1"/>
                <w:bCs w:val="1"/>
              </w:rPr>
              <w:t xml:space="preserve">Այլ չափեր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ա․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Հատակի բարձրությունը երթևեկելի մասից, մմ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բ․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Թույլատրելի առավելագույն քաշը ոչ ավելի, տոննա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գ․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Գետնից նվազագույն բարձրությունը ոչ պակաս, մմ-ից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դ․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Մոտեցման և հեռացման անկյուններ ոչ պակաս, աստիճան (՛)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2․</w:t>
            </w:r>
          </w:p>
        </w:tc>
        <w:tc>
          <w:tcPr>
            <w:tcW w:w="8310" w:type="dxa"/>
            <w:noWrap/>
          </w:tcPr>
          <w:p>
            <w:pPr/>
            <w:r>
              <w:rPr>
                <w:b w:val="1"/>
                <w:bCs w:val="1"/>
              </w:rPr>
              <w:t xml:space="preserve">Շարժիչ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Շարժիչի տեսակ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Շարժիչի հզորություն, կՎտ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3)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Բնապահպանական դաս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4)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Օգտագործված վառելիքի տեսակ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5)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Շարժիչի տեղակայման վայրի պահանջներ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6)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Վառելիքի մատակարարման համակարգի պահանջներ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7)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Վառելիքի խնայողության պահանջներ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3․</w:t>
            </w:r>
          </w:p>
        </w:tc>
        <w:tc>
          <w:tcPr>
            <w:tcW w:w="8310" w:type="dxa"/>
            <w:noWrap/>
          </w:tcPr>
          <w:p>
            <w:pPr/>
            <w:r>
              <w:rPr>
                <w:b w:val="1"/>
                <w:bCs w:val="1"/>
              </w:rPr>
              <w:t xml:space="preserve">Փոխանցման տուփ և ղեկային համակարգ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Փոխանցման տուփ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Կամրջակներ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3)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Ղեկային կառավարման համակարգ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4․</w:t>
            </w:r>
          </w:p>
        </w:tc>
        <w:tc>
          <w:tcPr>
            <w:tcW w:w="8310" w:type="dxa"/>
            <w:noWrap/>
          </w:tcPr>
          <w:p>
            <w:pPr/>
            <w:r>
              <w:rPr>
                <w:b w:val="1"/>
                <w:bCs w:val="1"/>
              </w:rPr>
              <w:t xml:space="preserve">Կախոցներ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5․</w:t>
            </w:r>
          </w:p>
        </w:tc>
        <w:tc>
          <w:tcPr>
            <w:tcW w:w="8310" w:type="dxa"/>
            <w:noWrap/>
          </w:tcPr>
          <w:p>
            <w:pPr/>
            <w:r>
              <w:rPr>
                <w:b w:val="1"/>
                <w:bCs w:val="1"/>
              </w:rPr>
              <w:t xml:space="preserve">Անիվներ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Անվադողեր, տեսակ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Անիվներ, չափսեր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6․</w:t>
            </w:r>
          </w:p>
        </w:tc>
        <w:tc>
          <w:tcPr>
            <w:tcW w:w="8310" w:type="dxa"/>
            <w:noWrap/>
          </w:tcPr>
          <w:p>
            <w:pPr/>
            <w:r>
              <w:rPr>
                <w:b w:val="1"/>
                <w:bCs w:val="1"/>
              </w:rPr>
              <w:t xml:space="preserve">Արգելակման համակարգ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Աշխատանքային ռեժիմի պահանջներ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Կայանման ռեժիմի պահանջներ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3)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Պահեստային մասերի պահանջներ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4)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Օժանդակ պահանջներ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7․</w:t>
            </w:r>
          </w:p>
        </w:tc>
        <w:tc>
          <w:tcPr>
            <w:tcW w:w="8310" w:type="dxa"/>
            <w:noWrap/>
          </w:tcPr>
          <w:p>
            <w:pPr/>
            <w:r>
              <w:rPr>
                <w:b w:val="1"/>
                <w:bCs w:val="1"/>
              </w:rPr>
              <w:t xml:space="preserve">Թափք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Դռներ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Բռնակներ և ձողեր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3)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Թափքի ներկում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4)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Ուղևորի կողային դռան շարժիչ մեխանիզմ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8310" w:type="dxa"/>
            <w:noWrap/>
          </w:tcPr>
          <w:p>
            <w:pPr/>
            <w:r>
              <w:rPr>
                <w:b w:val="1"/>
                <w:bCs w:val="1"/>
              </w:rPr>
              <w:t xml:space="preserve">Սրահ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Հատակ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Ապակիներ՝ դիմապակի, կողային և հետևի ապակիներ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3)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Սրահի միջնորմ, վարորդի նստատեղի տարանջատում և դռների մուտք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4)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Էլեկտրոնային ենթակարգավորման սարքավորումների և տեղակայման  համար սահմանված չափորոշիչներ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5)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Վարորդին դուռը բացելու ազդանշան տալու սեղմակոճակ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6)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Հաշմանդամություն ունեցող անձանց նստեցման-իջեցման մուտքի մատչելիության ապահովում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7)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Ուղևորների տեղեկատվական համակարգ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8)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Ուղևորների նստատեղեր, հատ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9)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Վարորդի խցիկ և աշխատանքային վայր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10)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Նստատեղերի դասավորվածության համապատասխանությունը տվյալ փոխադրմանը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11)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Նստատեղերի համար նախատեսված նյութ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8310" w:type="dxa"/>
            <w:noWrap/>
          </w:tcPr>
          <w:p>
            <w:pPr/>
            <w:r>
              <w:rPr>
                <w:b w:val="1"/>
                <w:bCs w:val="1"/>
              </w:rPr>
              <w:t xml:space="preserve">Տաքացման, հովացման և օդափոխության համակարգեր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Նախնական տաքացում և ներքին ջեռուցման համակարգ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Օդորակիչ և ջեռուցման համակարգ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8310" w:type="dxa"/>
            <w:noWrap/>
          </w:tcPr>
          <w:p>
            <w:pPr/>
            <w:r>
              <w:rPr>
                <w:b w:val="1"/>
                <w:bCs w:val="1"/>
              </w:rPr>
              <w:t xml:space="preserve">Էլեկտրասարքավորումներ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Ցանցում անվանական լարումը, Վ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Վերալիցքավորվող մարտկոցներ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11.</w:t>
            </w:r>
          </w:p>
        </w:tc>
        <w:tc>
          <w:tcPr>
            <w:tcW w:w="8310" w:type="dxa"/>
            <w:noWrap/>
          </w:tcPr>
          <w:p>
            <w:pPr/>
            <w:r>
              <w:rPr>
                <w:b w:val="1"/>
                <w:bCs w:val="1"/>
              </w:rPr>
              <w:t xml:space="preserve">Արտաքին և ներքին լուսային սարքերի համապատասխանություն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12․</w:t>
            </w:r>
          </w:p>
        </w:tc>
        <w:tc>
          <w:tcPr>
            <w:tcW w:w="8310" w:type="dxa"/>
            <w:noWrap/>
          </w:tcPr>
          <w:p>
            <w:pPr/>
            <w:r>
              <w:rPr>
                <w:b w:val="1"/>
                <w:bCs w:val="1"/>
              </w:rPr>
              <w:t xml:space="preserve">Հակահրդեհային համակարգ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Սրահում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Վարորդի խցիկում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13․</w:t>
            </w:r>
          </w:p>
        </w:tc>
        <w:tc>
          <w:tcPr>
            <w:tcW w:w="8310" w:type="dxa"/>
            <w:noWrap/>
          </w:tcPr>
          <w:p>
            <w:pPr/>
            <w:r>
              <w:rPr>
                <w:b w:val="1"/>
                <w:bCs w:val="1"/>
              </w:rPr>
              <w:t xml:space="preserve">Հետին տեսանելիության հայելի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14․</w:t>
            </w:r>
          </w:p>
        </w:tc>
        <w:tc>
          <w:tcPr>
            <w:tcW w:w="8310" w:type="dxa"/>
            <w:noWrap/>
          </w:tcPr>
          <w:p>
            <w:pPr/>
            <w:r>
              <w:rPr>
                <w:b w:val="1"/>
                <w:bCs w:val="1"/>
              </w:rPr>
              <w:t xml:space="preserve">Քարշակ սարք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15․</w:t>
            </w:r>
          </w:p>
        </w:tc>
        <w:tc>
          <w:tcPr>
            <w:tcW w:w="8310" w:type="dxa"/>
            <w:noWrap/>
          </w:tcPr>
          <w:p>
            <w:pPr/>
            <w:r>
              <w:rPr>
                <w:b w:val="1"/>
                <w:bCs w:val="1"/>
              </w:rPr>
              <w:t xml:space="preserve">Շարժակազմի գույնը՝ ըստ RAL կատալոգի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16․</w:t>
            </w:r>
          </w:p>
        </w:tc>
        <w:tc>
          <w:tcPr>
            <w:tcW w:w="8310" w:type="dxa"/>
            <w:noWrap/>
          </w:tcPr>
          <w:p>
            <w:pPr/>
            <w:r>
              <w:rPr>
                <w:b w:val="1"/>
                <w:bCs w:val="1"/>
              </w:rPr>
              <w:t xml:space="preserve">Անվտանգությանը ներկայացվող պահանջներ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Տրանսպորտային միջոցի կառուցվածքի անվտանգության մասին վկայական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Արտադրողի կողմից նախատեսված ցուցատախտակ կամ դրա համար նախատեսված հատված</w:t>
            </w:r>
          </w:p>
        </w:tc>
      </w:tr>
      <w:tr>
        <w:trPr/>
        <w:tc>
          <w:tcPr>
            <w:tcW w:w="1035" w:type="dxa"/>
            <w:noWrap/>
          </w:tcPr>
          <w:p>
            <w:pPr/>
            <w:r>
              <w:rPr/>
              <w:t xml:space="preserve">3)</w:t>
            </w:r>
          </w:p>
        </w:tc>
        <w:tc>
          <w:tcPr>
            <w:tcW w:w="8310" w:type="dxa"/>
            <w:noWrap/>
          </w:tcPr>
          <w:p>
            <w:pPr/>
            <w:r>
              <w:rPr/>
              <w:t xml:space="preserve">Վթարային ելքերի և նրանց կիրառման անհրաժեշտ միջոցներ</w:t>
            </w:r>
          </w:p>
        </w:tc>
      </w:tr>
    </w:tbl>
    <w:p>
      <w:pPr/>
      <w:r>
        <w:rPr/>
        <w:t xml:space="preserve">         7․ Ներհամայնքային երթուղիների երթերի վերաբերյալ պահանջվող տեղեկատվությունը սահմանվում է Ձև 2-ում։</w:t>
      </w:r>
    </w:p>
    <w:p>
      <w:pPr/>
      <w:r>
        <w:rPr/>
        <w:t xml:space="preserve">Ձև 2</w:t>
      </w:r>
    </w:p>
    <w:tbl>
      <w:tblGrid>
        <w:gridCol w:w="2250" w:type="dxa"/>
        <w:gridCol w:w="1035" w:type="dxa"/>
        <w:gridCol w:w="1125" w:type="dxa"/>
        <w:gridCol w:w="2805" w:type="dxa"/>
        <w:gridCol w:w="1125" w:type="dxa"/>
        <w:gridCol w:w="2820" w:type="dxa"/>
        <w:gridCol w:w="0" w:type="dxa"/>
      </w:tblGrid>
      <w:tblPr>
        <w:tblW w:w="11145" w:type="dxa"/>
        <w:tblLayout w:type="autofit"/>
      </w:tblPr>
      <w:tr>
        <w:trPr/>
        <w:tc>
          <w:tcPr>
            <w:tcW w:w="2250" w:type="dxa"/>
            <w:noWrap/>
          </w:tcPr>
          <w:p>
            <w:pPr/>
            <w:r>
              <w:rPr/>
              <w:t xml:space="preserve">Ժամանակացույցի տեսակը (ID)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Օրվա Ժամեր</w:t>
            </w:r>
          </w:p>
        </w:tc>
        <w:tc>
          <w:tcPr>
            <w:tcW w:w="3930" w:type="dxa"/>
            <w:gridSpan w:val="2"/>
            <w:noWrap/>
          </w:tcPr>
          <w:p>
            <w:pPr/>
            <w:r>
              <w:rPr/>
              <w:t xml:space="preserve">Երթուղու ուղղություն</w:t>
            </w:r>
          </w:p>
        </w:tc>
        <w:tc>
          <w:tcPr>
            <w:tcW w:w="3945" w:type="dxa"/>
            <w:gridSpan w:val="2"/>
            <w:noWrap/>
          </w:tcPr>
          <w:p>
            <w:pPr/>
            <w:r>
              <w:rPr/>
              <w:t xml:space="preserve">Հակադարձ ուղղություն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Երթերի քանակ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Ժամանակահատվածը նախորդ մեքենայի մեկնումից հետո (րոպե)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Երթերի քանակ</w:t>
            </w:r>
          </w:p>
        </w:tc>
        <w:tc>
          <w:tcPr>
            <w:tcW w:w="2820" w:type="dxa"/>
            <w:noWrap/>
          </w:tcPr>
          <w:p>
            <w:pPr/>
            <w:r>
              <w:rPr/>
              <w:t xml:space="preserve">Ժամանակահատվածը նախորդ մեքենայի մեկնումից հետո (րոպե)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285" w:type="dxa"/>
            <w:gridSpan w:val="2"/>
            <w:noWrap/>
          </w:tcPr>
          <w:p>
            <w:pPr/>
            <w:r>
              <w:rPr/>
              <w:t xml:space="preserve">ԸՆԴԱՄԵՆԸ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8․ Ներհամայնքային երթուղիների սպասարկման գրաֆիկի վերաբերյալ պահանջվող տեղեկատվությունը՝ Ձև 3-ում</w:t>
      </w:r>
    </w:p>
    <w:p>
      <w:pPr/>
      <w:r>
        <w:rPr>
          <w:b w:val="1"/>
          <w:bCs w:val="1"/>
        </w:rPr>
        <w:t xml:space="preserve">Ձև 3</w:t>
      </w:r>
    </w:p>
    <w:tbl>
      <w:tblGrid>
        <w:gridCol w:w="1725" w:type="dxa"/>
        <w:gridCol w:w="3915" w:type="dxa"/>
        <w:gridCol w:w="3915" w:type="dxa"/>
      </w:tblGrid>
      <w:tblPr>
        <w:tblW w:w="0" w:type="auto"/>
        <w:tblLayout w:type="autofit"/>
      </w:tblPr>
      <w:tr>
        <w:trPr/>
        <w:tc>
          <w:tcPr>
            <w:tcW w:w="1725" w:type="dxa"/>
            <w:noWrap/>
          </w:tcPr>
          <w:p>
            <w:pPr/>
            <w:r>
              <w:rPr/>
              <w:t xml:space="preserve">Տարեթիվ</w:t>
            </w:r>
          </w:p>
        </w:tc>
        <w:tc>
          <w:tcPr>
            <w:tcW w:w="3915" w:type="dxa"/>
            <w:noWrap/>
          </w:tcPr>
          <w:p>
            <w:pPr/>
            <w:r>
              <w:rPr/>
              <w:t xml:space="preserve">Ավտոբուսի նվազագույն վազքը կիլոմետրով (կմ)</w:t>
            </w:r>
          </w:p>
        </w:tc>
        <w:tc>
          <w:tcPr>
            <w:tcW w:w="3915" w:type="dxa"/>
            <w:noWrap/>
          </w:tcPr>
          <w:p>
            <w:pPr/>
            <w:r>
              <w:rPr/>
              <w:t xml:space="preserve">Ավտոբուսի առավելագույն վազքը կիլոմետրով (կմ)</w:t>
            </w:r>
          </w:p>
        </w:tc>
      </w:tr>
      <w:tr>
        <w:trPr/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7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1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F9E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84322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2026-04-01T16:35:43+04:00</dcterms:created>
  <dcterms:modified xsi:type="dcterms:W3CDTF">2026-04-01T16:35:43+04:00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