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կարգավորման մասին» օրենքում լրացում կատարելու մասին», «Պետական տուրքի մասին» օրենքում լրացումներ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«ՄԱՔՍԱՅԻՆ ԿԱՐԳԱՎՈՐՄԱՆ ՄԱՍԻՆ»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«Մաքսային կարգավորման մասին» 2022 թվականի սեպտեմբերի 14-ի ՀՕ-353-Ն օրենքը (այսուհետ՝ Օրենք) 69-րդ հոդվածից հետո լրացնել նոր՝ 69.1-ին հոդվածով հետևյալ բովանդակությամբ.</w:t>
      </w:r>
    </w:p>
    <w:p>
      <w:pPr>
        <w:jc w:val="both"/>
      </w:pPr>
      <w:r>
        <w:rPr>
          <w:b w:val="1"/>
          <w:bCs w:val="1"/>
        </w:rPr>
        <w:t xml:space="preserve">«Հոդված 69.1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Հանրապետությունից պետական սահմանի ավտոմոբիլային անցման կետերով մեկնող</w:t>
      </w:r>
      <w:r>
        <w:rPr>
          <w:b w:val="1"/>
          <w:bCs w:val="1"/>
        </w:rPr>
        <w:t xml:space="preserve"> բեռնատար տրանսպորտային միջոցների հերթերի կառավարումը՝ կուտակային կայանատեղիների միջոցով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պետական սահմանի ավտոմոբիլային անցման կետերով Հայաստանի Հանրապետությունից մեկնող բեռնատար տրանսպորտային միջոցների հոսքը կարգավորելու նպատակով պետական սահմանի անցման կետով բեռնատար տրանսպորտային միջոցների մեկնումը սույն հոդվածով սահմանված դեպքերում կազմակերպվում է Կոմիտեի հերթերի կառավարման համակարգի (այսուհետ՝ Հերթերի կառավարման համակարգ) միջոցով:</w:t>
      </w:r>
    </w:p>
    <w:p>
      <w:pPr>
        <w:numPr>
          <w:ilvl w:val="0"/>
          <w:numId w:val="2"/>
        </w:numPr>
      </w:pPr>
      <w:r>
        <w:rPr/>
        <w:t xml:space="preserve">Հերթերի կառավարման համակարգի միջոցով բեռնատար տրանսպորտային միջոցների հերթագրումն իրականացվում է կուտակային կայանատեղիների կազմակերպման գործունեություն իրականացնողների կողմից, որոնք ստեղծվում են Հայաստանի Հանրապետության պետական սահմանի ավտոմոբիլային անցման կետերից ոչ ավելի, քան 20 կիլոմետր հեռավորության վրա։</w:t>
      </w:r>
    </w:p>
    <w:p>
      <w:pPr>
        <w:numPr>
          <w:ilvl w:val="0"/>
          <w:numId w:val="2"/>
        </w:numPr>
      </w:pPr>
      <w:r>
        <w:rPr/>
        <w:t xml:space="preserve">Պետական սահմանի ավտոմոբիլային անցման կետերով Հայաստանի Հանրապետությունից բեռնատար տրանսպորտային միջոցների՝ առանց կուտակային կայանատեղի մուտք գործելու մեկնման դեպքերը, ինչպես նաև առանձին բեռնատար տրանսպորտային միջոցների՝ կուտակային կայանատեղիներից բացթողնման առաջնահերթությունները սահմանում է Կոմիտեն։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պետական սահմանի այն ավտոմոբիլային անցման կետերը, որտեղից բեռնատար տրանսպորտային միջոցների մեկնումը Հայաստանի Հանրապետությունից կարող է իրականացվել միայն կուտակային կայանատեղի մուտք և ելք գործելուց հետո, սահմանում է Կոմիտեն:</w:t>
      </w:r>
    </w:p>
    <w:p>
      <w:pPr>
        <w:numPr>
          <w:ilvl w:val="0"/>
          <w:numId w:val="2"/>
        </w:numPr>
      </w:pPr>
      <w:r>
        <w:rPr/>
        <w:t xml:space="preserve">Կուտակային կայանատեղիների կազմակերպման գործունեություն իրականացնողների՝ Հերթերի կառավարման համակարգին միանալու կարգը սահմանում է Կառավարությունը:</w:t>
      </w:r>
    </w:p>
    <w:p>
      <w:pPr>
        <w:numPr>
          <w:ilvl w:val="0"/>
          <w:numId w:val="2"/>
        </w:numPr>
      </w:pPr>
      <w:r>
        <w:rPr/>
        <w:t xml:space="preserve">Սույն հոդվածի կիրառության նպատակով կուտակային կայանատեղիների կազմակերպման գործունեություն իրականացնողներ են համարվում Կառավարության կողմից սահմանված պահանջներին համապատասխանող իրավաբանական անձինք։</w:t>
      </w:r>
    </w:p>
    <w:p>
      <w:pPr>
        <w:numPr>
          <w:ilvl w:val="0"/>
          <w:numId w:val="2"/>
        </w:numPr>
      </w:pPr>
      <w:r>
        <w:rPr/>
        <w:t xml:space="preserve">Կառավարությունը սահմանում է Հայաստանի Հանրապետությունից մեկնող բեռնատար տրանսպորտային միջոցների՝ կուտակային կայանատեղիներում հերթագրման ծառայության վճարի առավելագույն չափը:</w:t>
      </w:r>
    </w:p>
    <w:p>
      <w:pPr>
        <w:numPr>
          <w:ilvl w:val="0"/>
          <w:numId w:val="2"/>
        </w:numPr>
      </w:pPr>
      <w:r>
        <w:rPr/>
        <w:t xml:space="preserve">Սույն հոդվածի իմաստով` հերթագրման ծառայության մեջ ներառվում է մուտքը կուտակային կայանատեղի, կայանումը (անկախ տևողությունից) և ելքը կուտակային կայանատեղիից:</w:t>
      </w:r>
    </w:p>
    <w:p>
      <w:pPr>
        <w:numPr>
          <w:ilvl w:val="0"/>
          <w:numId w:val="2"/>
        </w:numPr>
      </w:pPr>
      <w:r>
        <w:rPr/>
        <w:t xml:space="preserve">Սույն հոդվածի իմաստով բեռնատար տրանսպորտային միջոց է համարվում իր կառուցվածքով և կահավորվածությամբ բեռների փոխադրման համար նախատեսված տրանսպորտային միջոցը, որն ունի ավելի քան 5000 կգ թույլատրելի առավելագույն զանգված։</w:t>
      </w:r>
    </w:p>
    <w:p>
      <w:pPr>
        <w:numPr>
          <w:ilvl w:val="0"/>
          <w:numId w:val="2"/>
        </w:numPr>
      </w:pPr>
      <w:r>
        <w:rPr/>
        <w:t xml:space="preserve">Հերթերի կառավարման համակարգի և կուտակային կայանատեղիի կազմակերպման գործունեություն իրականացնող անձի էլեկտրոնային համակարգերի փոխազդեցության կարգը, հավաքագրվող և փոխանցվող տեղեկությունների ցանկը սահմանում է Կոմիտեն:»։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ՕՐԵՆՔԸ</w:t>
      </w:r>
    </w:p>
    <w:p>
      <w:pPr>
        <w:jc w:val="center"/>
      </w:pPr>
      <w:r>
        <w:rPr/>
        <w:t xml:space="preserve">«ՊԵՏԱԿԱՆ ՏՈՒՐՔԻ ՄԱՍԻՆ» ՕՐԵՆՔՈՒՄ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«Պետական տուրքի մասին» 1997 թվականի դեկտեմբերի 27-ի ՀՕ-186 օրենքի 19-րդ հոդվածի 15-րդ՝ «Տրանսպորտի բնագավառ» բաժինը լրացնել 15․9-րդ կետով հետևյալ խմբագրությամբ.</w:t>
      </w:r>
    </w:p>
    <w:p>
      <w:pPr>
        <w:jc w:val="both"/>
      </w:pPr>
      <w:r>
        <w:rPr/>
        <w:t xml:space="preserve">«</w:t>
      </w:r>
    </w:p>
    <w:tbl>
      <w:tblGrid>
        <w:gridCol w:w="5460" w:type="dxa"/>
        <w:gridCol w:w="4290" w:type="dxa"/>
      </w:tblGrid>
      <w:tblPr>
        <w:tblW w:w="0" w:type="dxa"/>
        <w:tblLayout w:type="autofit"/>
      </w:tblPr>
      <w:tr>
        <w:trPr/>
        <w:tc>
          <w:tcPr>
            <w:tcW w:w="5460" w:type="dxa"/>
            <w:noWrap/>
          </w:tcPr>
          <w:p>
            <w:pPr/>
            <w:r>
              <w:rPr/>
              <w:t xml:space="preserve">15.9. Կուտակային կայանատեղիների կազմակերպման գործունեություն իրականացնող անձանց կողմից մաքսային մարմինների հերթագրման համակարգի միջոցով Հայաստանի Հանրապետությունից մեկնող յուրաքանչյուր երեք հազար բեռնատար տրանսպորտային միջոցի հերթագրման ծառայության (մուտքի, կայանման, ելքի) համար</w:t>
            </w:r>
          </w:p>
        </w:tc>
        <w:tc>
          <w:tcPr>
            <w:tcW w:w="4290" w:type="dxa"/>
            <w:noWrap/>
          </w:tcPr>
          <w:p>
            <w:pPr/>
            <w:r>
              <w:rPr/>
              <w:t xml:space="preserve">բազային տուրքի</w:t>
            </w:r>
          </w:p>
          <w:p>
            <w:pPr/>
            <w:r>
              <w:rPr/>
              <w:t xml:space="preserve">3000-ապատիկի</w:t>
            </w:r>
            <w:br/>
            <w:r>
              <w:rPr/>
              <w:t xml:space="preserve"> չափով</w:t>
            </w:r>
          </w:p>
        </w:tc>
      </w:tr>
    </w:tbl>
    <w:p>
      <w:pPr>
        <w:jc w:val="both"/>
      </w:pPr>
      <w:r>
        <w:rPr/>
        <w:t xml:space="preserve">»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 </w:t>
      </w:r>
      <w:r>
        <w:rPr/>
        <w:t xml:space="preserve">Օրենքի 32-րդ հոդվածը լրացնել նոր պարբերությամբ հետևյալ խմբագրությամբ.</w:t>
      </w:r>
    </w:p>
    <w:p>
      <w:pPr/>
      <w:r>
        <w:rPr/>
        <w:t xml:space="preserve">«Սույն օրենքի 19-րդ հոդվածի 15-րդ՝ «Տրանսպորտի բնագավառ» բաժնի 15.9-րդ կետով սահմանված պետական տուրքը վճարվում է մինչև նույն կետով սահմանված սահմանաչափի ավարտի օրվան հաջորդող 5-րդ աշխատանքային օրը ներառյալ: Տրանսպորտային միջոցների հերթագրման ծառայության համար սույն օրենքի 19-րդ հոդվածի 15-րդ՝ «Տրանսպորտի բնագավառ» բաժնի 15.9-րդ կետով սահմանված պետական տուրքը առաջին անգամ վճարում է մինչև տրանսպորտային միջոցների հերթագրման ծառայության մատուցումը։»։</w:t>
      </w:r>
    </w:p>
    <w:p>
      <w:pPr>
        <w:jc w:val="both"/>
      </w:pPr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1C2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2026-03-31T10:11:28+04:00</dcterms:created>
  <dcterms:modified xsi:type="dcterms:W3CDTF">2026-03-31T10:11:28+04:00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