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ՔԱՂԱՔԱՇԻՆՈՒԹՅԱՆ ԿՈՄԻՏԵԻ ՆԱԽԱԳԱՀԻ 2023  ԹՎԱԿԱՆԻ ՄԱՅԻՍԻ 22-Ի N 04-Ն ՀՐԱՄԱՆԻ ՄԵՋ ՓՈՓՈԽՈՒԹՅՈՒՆՆԵՐ ԿԱՏԱՐԵԼՈՒ ՄԱՍԻՆ» ՀԱՅԱՍՏԱՆԻ ՀԱՆՐԱՊԵՏՈՒԹՅԱՆ ՔԱՂԱՔԱՇԻՆՈՒԹՅԱՆ ԿՈՄԻՏԵԻ ՆԱԽԱԳԱՀԻ ՀՐԱՄԱՆԻ ՆԱԽԱԳԻԾ</w:t>
      </w:r>
      <w:bookmarkEnd w:id="0"/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</w:t>
      </w:r>
      <w:r>
        <w:rPr>
          <w:b w:val="1"/>
          <w:bCs w:val="1"/>
        </w:rPr>
        <w:t xml:space="preserve">ՇԻՆՈՒԹՅԱՆ ԿՈՄԻՏԵ</w:t>
      </w:r>
    </w:p>
    <w:p>
      <w:pPr>
        <w:jc w:val="center"/>
      </w:pPr>
      <w:r>
        <w:rPr>
          <w:b w:val="1"/>
          <w:bCs w:val="1"/>
        </w:rPr>
        <w:t xml:space="preserve">ՆԱԽԱԳԱՀ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 » __________________  2025 թ.                                    N_______-Ն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ՔԱՂԱՔԱՇԻՆՈՒԹՅԱՆ ԿՈՄԻՏԵԻ ՆԱԽԱԳԱՀԻ 2023  ԹՎԱԿԱՆԻ ՄԱՅԻՍԻ 22-Ի N 04-Ն ՀՐԱՄԱՆ</w:t>
      </w:r>
      <w:r>
        <w:rPr>
          <w:b w:val="1"/>
          <w:bCs w:val="1"/>
        </w:rPr>
        <w:t xml:space="preserve">ՈՒՄ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</w:t>
      </w:r>
      <w:r>
        <w:rPr>
          <w:b w:val="1"/>
          <w:bCs w:val="1"/>
        </w:rPr>
        <w:t xml:space="preserve">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_____________________________________________________________________________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Հիմք ընդունելով «Նորմատիվ իրավական ակտերի մասին» օրենքի 33–րդ և 34-րդ հոդվածները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>
        <w:jc w:val="both"/>
      </w:pPr>
      <w:r>
        <w:rPr/>
        <w:t xml:space="preserve">1.Հայաստանի Հանրապետության քաղաքաշինության կոմիտեի նախագահի 2023 թվականի մայիսի 22-ի N 04-Ն հրամանի հավելվածի. </w:t>
      </w:r>
    </w:p>
    <w:p>
      <w:pPr>
        <w:jc w:val="both"/>
      </w:pPr>
      <w:r>
        <w:rPr/>
        <w:t xml:space="preserve">1) «11. Բնակելի  կառուցապատման  գոտի. Կառուցապատման հարաչափեր» գլխի Աղյուսակ 8-ը շարադրել հետևյալ խմբագրությամբ. </w:t>
      </w:r>
    </w:p>
    <w:p>
      <w:pPr>
        <w:jc w:val="both"/>
      </w:pPr>
      <w:r>
        <w:rPr/>
        <w:t xml:space="preserve">«</w:t>
      </w:r>
    </w:p>
    <w:tbl>
      <w:tblGrid>
        <w:gridCol w:w="615" w:type="dxa"/>
        <w:gridCol w:w="4335" w:type="dxa"/>
        <w:gridCol w:w="2280" w:type="dxa"/>
        <w:gridCol w:w="2505" w:type="dxa"/>
      </w:tblGrid>
      <w:tblPr>
        <w:tblW w:w="9720" w:type="dxa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Հ/Հ </w:t>
            </w:r>
          </w:p>
        </w:tc>
        <w:tc>
          <w:tcPr>
            <w:tcW w:w="4335" w:type="dxa"/>
            <w:noWrap/>
          </w:tcPr>
          <w:p>
            <w:pPr/>
            <w:r>
              <w:rPr>
                <w:b w:val="1"/>
                <w:bCs w:val="1"/>
              </w:rPr>
              <w:t xml:space="preserve">Գոտիներ </w:t>
            </w:r>
          </w:p>
        </w:tc>
        <w:tc>
          <w:tcPr>
            <w:tcW w:w="2280" w:type="dxa"/>
            <w:noWrap/>
          </w:tcPr>
          <w:p>
            <w:pPr/>
            <w:r>
              <w:rPr>
                <w:b w:val="1"/>
                <w:bCs w:val="1"/>
              </w:rPr>
              <w:t xml:space="preserve">Կառուցապատման խտության գործակից* </w:t>
            </w:r>
            <w:r>
              <w:rPr>
                <w:b w:val="1"/>
                <w:bCs w:val="1"/>
              </w:rPr>
              <w:t xml:space="preserve">P</w:t>
            </w:r>
            <w:r>
              <w:rPr>
                <w:b w:val="1"/>
                <w:bCs w:val="1"/>
                <w:vertAlign w:val="subscript"/>
              </w:rPr>
              <w:t xml:space="preserve">կ1</w:t>
            </w:r>
          </w:p>
        </w:tc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Կառուցապատման </w:t>
            </w:r>
          </w:p>
          <w:p>
            <w:pPr/>
            <w:r>
              <w:rPr>
                <w:b w:val="1"/>
                <w:bCs w:val="1"/>
              </w:rPr>
              <w:t xml:space="preserve">տոկոս </w:t>
            </w:r>
            <w:r>
              <w:rPr>
                <w:b w:val="1"/>
                <w:bCs w:val="1"/>
              </w:rPr>
              <w:t xml:space="preserve">P</w:t>
            </w:r>
            <w:r>
              <w:rPr>
                <w:b w:val="1"/>
                <w:bCs w:val="1"/>
                <w:vertAlign w:val="subscript"/>
              </w:rPr>
              <w:t xml:space="preserve">կ2 </w:t>
            </w:r>
          </w:p>
          <w:p>
            <w:pPr/>
            <w:r>
              <w:rPr>
                <w:b w:val="1"/>
                <w:bCs w:val="1"/>
              </w:rPr>
              <w:t xml:space="preserve">% 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Բնակելի (սակավահարկ, մինչև 3 հարկով (ներառյալ)) բազմաբնակարան կառուցապատման թաղամասերում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0.8/1.2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    Բնակելի (միջին հարկայնությամբ, 4-8 հարկով) բազմահարկ բազմաբնակարան կառուցապատման թաղամասերում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0.8/1.2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Բնակելի բազմահարկ (բարձր հարկայնությամբ՝ 9 և ավելի) բազմաբնակարան (այդ թվում բազմաֆուկցիոնալ) կառուցապատման վերակառուցվող թաղամասերում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Բլոկացված բնակելի տներով (սակավահարկ, մինչև 3 հարկ)</w:t>
            </w:r>
            <w:r>
              <w:rPr>
                <w:b w:val="1"/>
                <w:bCs w:val="1"/>
              </w:rPr>
              <w:t xml:space="preserve">, </w:t>
            </w:r>
            <w:r>
              <w:rPr/>
              <w:t xml:space="preserve">բնակարանամերձ հողամասերով կառուցապատման թաղամասերում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0.6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Անհատական բնակելի տներով (սակավահարկ, մինչև 3 հարկ)</w:t>
            </w:r>
            <w:r>
              <w:rPr>
                <w:b w:val="1"/>
                <w:bCs w:val="1"/>
              </w:rPr>
              <w:t xml:space="preserve">, </w:t>
            </w:r>
            <w:r>
              <w:rPr/>
              <w:t xml:space="preserve">տնամերձ հողամասերով կառուցապատման թաղամասերում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0.4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Խառը կառուցապատման թաղամասերում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Խառը կառուցապատման վերակառուցվող թաղամասերում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          1.6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             60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Հասարակական բազմագործառույթ (բազմաֆունկցիոնալ) կառուցապատման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          3.0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            100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Հասարակական մասնագիտացված կառուցապատման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2.4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             80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Կանաչապատ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9105" w:type="dxa"/>
            <w:gridSpan w:val="3"/>
            <w:noWrap/>
          </w:tcPr>
          <w:p>
            <w:pPr/>
            <w:r>
              <w:rPr/>
              <w:t xml:space="preserve">Սույն Աղյուսակի 2-րդ կետի մասով կառուցապատման խտության գործակիցը և տոկոսը կիրառվում են ինչպես ամբողջ միկրոշրջանի , այնպես էլ առանձին թաղամասերի համար: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9105" w:type="dxa"/>
            <w:gridSpan w:val="3"/>
            <w:noWrap/>
          </w:tcPr>
          <w:p>
            <w:pPr/>
            <w:r>
              <w:rPr/>
              <w:t xml:space="preserve">Սույն Աղյուսակի 3-րդ կետի մասով բնակելի բազմահարկ նոր կառուցվող և վերակառուցվող թաղամասերի ստորգետնյա և նկուղային հարկերի կառուցապատման տոկոսը կարող է հասցվել 80%-ի՝ բազմաբնակարան բնակելի շենքերի ստորգետնյա և նկուղային հարկերում ավտոկայանատեղիների քանակը նախատեսելու բնակարանների ընդհանուր քանակի մինչև 80% -100%-ի չափով, եթե  վերգետնյա հատվածի կառուցապատման թույլատրելի  տոկոսից դուրս գտնվող հատվածում ապահովվի առնվազն մեկ մետր բարձրությամբ հողածածկ՝ տարածքի կանաչապատումը (որպես Կլիմայի փոփոխության հարմարվողականության և մեղղման միջոցառում) կամ  ՀՀ քաղաքաշինության կոմիտեի նախագահի 2022 թվականի ապրիլի 4-ի N06-Ն հրամանով հաստատված ՀՀՇՆ 31-03.02-2022 նորմերի  պահանջների բավարարումն ապահովելու պայմանով (անհրաժեշտության դեպքում՝  որպես  երկակի գործառնական նշանակությամբ քաղաքացիական պաշտպանության պաշտպանական կառույց օգտագործելու, բնակչության պատսպարումն ապահովելու նպատակով):</w:t>
            </w:r>
          </w:p>
        </w:tc>
      </w:tr>
    </w:tbl>
    <w:tbl>
      <w:tblGrid>
        <w:gridCol w:w="615" w:type="dxa"/>
        <w:gridCol w:w="9105" w:type="dxa"/>
      </w:tblGrid>
      <w:tblPr>
        <w:tblW w:w="9720" w:type="dxa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9105" w:type="dxa"/>
            <w:noWrap/>
          </w:tcPr>
          <w:p>
            <w:pPr/>
            <w:r>
              <w:rPr/>
              <w:t xml:space="preserve">Սույն Աղյուսակի 4-րդ կետի մասով անջրանցիկ տարածքը (կառույցի մակերեսը ներառյալ) չպետք է գերազանցի 40%-ը։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9105" w:type="dxa"/>
            <w:noWrap/>
          </w:tcPr>
          <w:p>
            <w:pPr/>
            <w:r>
              <w:rPr/>
              <w:t xml:space="preserve">Սույն Աղյուսակի 5-րդ կետի մասով սահմանված կառուցապատման տոկոսը ներառում է հողամասի անջրանցիկ բոլոր տարածքները՝ ներառյալ տնտեսական և օժանդակ բոլոր տիպի կառույցների զբաղեցրած մակերեսը։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»:</w:t>
      </w:r>
    </w:p>
    <w:p>
      <w:pPr>
        <w:jc w:val="both"/>
      </w:pPr>
      <w:r>
        <w:rPr/>
        <w:t xml:space="preserve">2) 123-րդ կետը շարադրել հետևյալ խմբագրությամբ.</w:t>
      </w:r>
    </w:p>
    <w:p>
      <w:pPr>
        <w:jc w:val="both"/>
      </w:pPr>
      <w:r>
        <w:rPr/>
        <w:t xml:space="preserve">«Տնտեսական հարթակներից հեռավորությունը չի նորմավորվում, աղբակուտակման հարթակներից մինչև մարզահրապարակներ, մանկական խաղահրապարակներ և բնակչության հանգստի հարթակներ, ինչպես նաև նախադպրոցական, առողջապահական  և սննդի կազմակերպություններ հեռավորությունն անհրաժեշտ է ընդունել ՀՀ առողջապահության նախարարի 2009 թվականի դեկտեմբերի 22-ի N 25-Ն հրամանով հաստատված պահանջներին համապատասխան: Հասարակական և խառը կառուցապատման գոտիներին կից տեղակայված արտադրական օբյեկտների հողամասերի սահմանից կողմնորոշիչ հեռավորությունը մինչև բնակելի և հասարակական շենքերը, ինչպես նաև հանրակրթական դպրոցների և նախադպրոցական, առողջապահական և հանգստի կազմակերպությունների հողամասերի սահմանները պետք է ընդունել ՀՀ քաղաքաշինության կոմիտեի նախագահի 2024 թվականի փետրվարի 1-ի N06-Ն հրամանով հաստատված ՀՀՇՆ 31-04.01-2024 շինարարական նորմերի պահանջներին համապատասխան, որոնք կարող են նվազեցվել նշված նորմերի 8-րդ հոդվածով սահմանված դեպքերում, այդ թվում՝ սանիտարապաշտպանական գոտու նվազագույն  չափի սահմանման վերաբերյալ հաշվարկի հիման վրա:»:</w:t>
      </w:r>
    </w:p>
    <w:p>
      <w:pPr>
        <w:jc w:val="both"/>
      </w:pPr>
      <w:r>
        <w:rPr/>
        <w:t xml:space="preserve">2. Սույն հրամանն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2026-04-03T00:46:28+04:00</dcterms:created>
  <dcterms:modified xsi:type="dcterms:W3CDTF">2026-04-03T00:46:28+04:00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