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ՄՇԱԿՈՒԹԱՅԻՆ ԳՈՐԾՈՒՆԵՈՒԹՅԱՆ ԻՐԱԿԱՆԱՑՄԱՆ ՆՊԱՏԱԿՈՎ ՋԵՐՄՈՒԿ ՔԱՂԱՔԻ ՀԱՆՐԱՅԻՆ ԲԱՑՕԹՅԱ ՎԱՅՐԵՐԻ ՕԳՏԱԳՈՐԾՄԱՆ ՊԱՅՄԱՆՆԵՐԸ, ՊԱՀԱՆՋՆԵՐԸ ԵՎ ՍԱՀՄԱՆԱՓԱԿՈՒՄՆԵՐԸ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ՋԵՐՄՈՒԿ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…………………………..2025 թվականի N …..-Ն</w:t>
      </w:r>
    </w:p>
    <w:p>
      <w:pPr>
        <w:jc w:val="center"/>
      </w:pPr>
      <w:r>
        <w:rPr>
          <w:b w:val="1"/>
          <w:bCs w:val="1"/>
        </w:rPr>
        <w:t xml:space="preserve">ՄՇԱԿՈՒԹԱՅԻՆ ԳՈՐԾՈՒՆԵՈՒԹՅԱՆ ԻՐԱԿԱՆԱՑՄԱՆ ՆՊԱՏԱԿՈՎ ՋԵՐՄՈՒԿ ՔԱՂԱՔԻ ՀԱՆՐԱՅԻՆ ԲԱՑՕԹՅԱ ՎԱՅՐԵՐԻ ՕԳՏԱԳՈՐԾՄԱՆ ՊԱՅՄԱՆՆԵՐԸ, ՊԱՀԱՆՋՆԵՐԸ ԵՎ ՍԱՀՄԱՆԱՓԱԿՈՒՄՆԵՐԸ ՍԱՀՄԱՆԵԼՈՒ ՄԱՍԻՆ</w:t>
      </w:r>
    </w:p>
    <w:p>
      <w:pPr/>
      <w:r>
        <w:rPr/>
        <w:t xml:space="preserve">Ղեկավարվելով «Տեղական ինքնակառավարման մասին» օրենքի 18-րդ հոդվածի 1-ին մասի 41.6-րդ կետով՝</w:t>
      </w:r>
    </w:p>
    <w:p>
      <w:pPr>
        <w:numPr>
          <w:ilvl w:val="0"/>
          <w:numId w:val="2"/>
        </w:numPr>
      </w:pPr>
      <w:r>
        <w:rPr/>
        <w:t xml:space="preserve">Սահմանել մշակութային գործունեության իրականացման նպատակով Ջերմուկ քաղաքի հանրային բացօթյա վայրերի (փողոց, մայթ, հրապարակ, այգի, պուրակ և այլն) օգտագործման պայմանները, պահանջները և սահմանափակումները՝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որոշումը ուժի մեջ է մտնում պաշտոնական հրապարակմանը հաջորդող օրվանից: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ՋԵՐՄՈՒԿ ՀԱՄԱՅՆՔԻ ՂԵԿԱՎԱՐ`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    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Վ.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ԱՐՍԵՆՅԱՆ</w:t>
      </w: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92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2026-04-01T06:14:36+04:00</dcterms:created>
  <dcterms:modified xsi:type="dcterms:W3CDTF">2026-04-01T06:14:36+04:00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