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ԱԶԳԱՅԻՆ ՏԱՐԱԾԱԿԱՆ ՏՎՅԱԼՆԵՐԻ ԵՆԹԱԿԱՌՈՒՑՎԱԾՔԻ ՖԻՆԱՆՍԱՎՈՐՄԱՆ ԿԱՐԳԸ ՍԱՀՄԱՆԵԼՈՒ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«----» ------------------ 2024 թվականի N –Ն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ԱԶԳԱՅԻՆ ՏԱՐԱԾԱԿԱՆ ՏՎՅԱԼՆԵՐԻ ԵՆԹԱԿԱՌՈՒՑՎԱԾՔԻ ՖԻՆԱՆՍԱՎՈՐՄԱՆ ԿԱՐԳԸ ՍԱՀՄԱՆԵԼՈՒ ՄԱՍԻՆ</w:t>
      </w:r>
    </w:p>
    <w:p>
      <w:pPr/>
      <w:r>
        <w:rPr/>
        <w:t xml:space="preserve"> </w:t>
      </w:r>
    </w:p>
    <w:p>
      <w:pPr/>
      <w:r>
        <w:rPr/>
        <w:t xml:space="preserve">        Ղեկավարվելով «Տարածական տվյալների մասին» օրենքի 28-րդ հոդվածի 1-ին մասի պահանջներով՝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ազգային տարածական տվյալների ենթակառուցվածքի ֆինանսավորման կարգը՝ համաձայն հավելվածի։</w:t>
      </w:r>
    </w:p>
    <w:p>
      <w:pPr>
        <w:numPr>
          <w:ilvl w:val="0"/>
          <w:numId w:val="2"/>
        </w:numPr>
      </w:pPr>
      <w:r>
        <w:rPr/>
        <w:t xml:space="preserve">Սահմանել, որ Հայաստանի Հանրապետության պետական կառավարման մարմինները, տեղական ինքնակառավարման մարմինները, պետական հիմնարկները և կազմակերպությունները Հայաստանի Հանրապետության պետական բյուջեի ծախսերը ծրագրավորելիս կարող են ֆինանսական միջոցներ նախատեսել ազգային տարածական տվյալների ենթակառուցվածքի ազգային և ոլորտային գեոպորտալների, բազային թեմատիկ տարածական տվյալների, մետատվյալների, ստանդարտների մշակման, ստեղծման, ներդրման և փոխգործելիության համար։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Հայաստանի Հանրապետության                                                           Ն. Փաշինյան</w:t>
      </w:r>
    </w:p>
    <w:p>
      <w:pPr>
        <w:jc w:val="start"/>
      </w:pPr>
      <w:r>
        <w:rPr/>
        <w:t xml:space="preserve">վարչապետ</w:t>
      </w:r>
    </w:p>
    <w:p>
      <w:pPr>
        <w:jc w:val="start"/>
      </w:pPr>
      <w:r>
        <w:rPr/>
        <w:t xml:space="preserve">Հավելված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2024 թվականի -ի</w:t>
      </w:r>
    </w:p>
    <w:p>
      <w:pPr>
        <w:jc w:val="end"/>
      </w:pPr>
      <w:r>
        <w:rPr/>
        <w:t xml:space="preserve">N -Ն որոշման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ԱԶԳԱՅԻՆ ՏԱՐԱԾԱԿԱՆ ՏՎՅԱԼՆԵՐԻ ԵՆԹԱԿԱՌՈՒՑՎԱԾՔԻ ՖԻՆԱՆՍԱՎՈՐՄԱՆ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ազգային տարածական տվյալների ենթակառուցվածքի (այսուհետ` ԱՏՏԵ) ֆինանսավորումն իրականացվում է Հայաստանի Հանրապետության պետական բյուջեի միջոցներով։</w:t>
      </w:r>
    </w:p>
    <w:p>
      <w:pPr>
        <w:numPr>
          <w:ilvl w:val="0"/>
          <w:numId w:val="3"/>
        </w:numPr>
      </w:pPr>
      <w:r>
        <w:rPr/>
        <w:t xml:space="preserve">ԱՏՏԵ-ի սպասարկման և զարգացման ֆինանսական միջոցները կարող են գոյանալ՝</w:t>
      </w:r>
    </w:p>
    <w:p>
      <w:pPr/>
      <w:r>
        <w:rPr/>
        <w:t xml:space="preserve">           1) Հայաստանի Հանրապետության պետական բյուջեի միջոցների հաշվին,</w:t>
      </w:r>
    </w:p>
    <w:p>
      <w:pPr/>
      <w:r>
        <w:rPr/>
        <w:t xml:space="preserve">           2) միջազգային կազմակերպությունների կողմից իրականացվող ծրագրերի միջոցներից,</w:t>
      </w:r>
    </w:p>
    <w:p>
      <w:pPr/>
      <w:r>
        <w:rPr/>
        <w:t xml:space="preserve">           3) պետության, համայնքի, օտարերկրյա պետության կամ միջազգային կազմակերպության կողմից դրամաշնորհի կարգով տրամադրված միջոցների հաշվին։</w:t>
      </w:r>
    </w:p>
    <w:p>
      <w:pPr>
        <w:numPr>
          <w:ilvl w:val="0"/>
          <w:numId w:val="4"/>
        </w:numPr>
      </w:pPr>
      <w:r>
        <w:rPr/>
        <w:t xml:space="preserve">Դրամաշնորհի կարգով տրամադրված միջոցների հաշվին ԱՏՏԵ-ին առնչվող ծրագրերն (այսուհետ՝ Ծրագիր) իրականացվում են լիազոր մարմնի՝ Կադաստրի կոմիտեի համաձայնությամբ: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պետական կառավարման մարմինները, տեղական ինքնակառավարման մարմինները, պետական հիմնարկներն ու կազմակերպությունները Ծրագրերը համաձայնեցնելու նպատակով լիազոր մարմին են ներկայացնում դիմում՝ թղթային կամ էլեկտրոնային եղանակով:</w:t>
      </w:r>
    </w:p>
    <w:p>
      <w:pPr>
        <w:numPr>
          <w:ilvl w:val="0"/>
          <w:numId w:val="4"/>
        </w:numPr>
      </w:pPr>
      <w:r>
        <w:rPr/>
        <w:t xml:space="preserve">Դիմումին կից ներկայացվում են՝</w:t>
      </w:r>
    </w:p>
    <w:p>
      <w:pPr/>
      <w:r>
        <w:rPr/>
        <w:t xml:space="preserve">          1) Ծրագիրը,</w:t>
      </w:r>
      <w:br/>
      <w:r>
        <w:rPr/>
        <w:t xml:space="preserve">          2) Ծրագրի անհրաժեշտության հիմնավորումը՝ նշելով դրա նպատակը, խնդիրները և ակնկալվող արդյունքները,</w:t>
      </w:r>
      <w:br/>
      <w:r>
        <w:rPr/>
        <w:t xml:space="preserve">          3) Ծրագրի իրականացման ժամանակահատվածը և մեթոդները,</w:t>
      </w:r>
    </w:p>
    <w:p>
      <w:pPr>
        <w:numPr>
          <w:ilvl w:val="0"/>
          <w:numId w:val="5"/>
        </w:numPr>
      </w:pPr>
      <w:r>
        <w:rPr/>
        <w:t xml:space="preserve">Դիմումի գրանցման օրվանից հետո` 10 աշխատանքային օրվա ընթացքում, լիազոր մարմինը քննարկում է դիմումին կից ներկայացված Ծրագրի փաթեթը, որի արդյունքում այն ծանուցում է դիմումատուին՝</w:t>
      </w:r>
    </w:p>
    <w:p>
      <w:pPr/>
      <w:r>
        <w:rPr/>
        <w:t xml:space="preserve">         1) Ծրագիրը լիազոր մարմնի հետ համաձայնեցված համարելու մասին,</w:t>
      </w:r>
      <w:br/>
      <w:r>
        <w:rPr/>
        <w:t xml:space="preserve">         2) Ծրագիրը լրամշակման վերադարձնելու մասին։</w:t>
      </w:r>
    </w:p>
    <w:p>
      <w:pPr>
        <w:numPr>
          <w:ilvl w:val="0"/>
          <w:numId w:val="6"/>
        </w:numPr>
      </w:pPr>
      <w:r>
        <w:rPr/>
        <w:t xml:space="preserve">Լիազոր մարմինը Ծրագիրը վերադարձնում է լրամշակման, եթե`</w:t>
      </w:r>
    </w:p>
    <w:p>
      <w:pPr/>
      <w:r>
        <w:rPr/>
        <w:t xml:space="preserve">         1) Ծրագրի փաթեթում ներկայացված տեղեկությունները թերի են,</w:t>
      </w:r>
      <w:br/>
      <w:r>
        <w:rPr/>
        <w:t xml:space="preserve">         2) Ծրագրի փաթեթում բացակայում է Ծրագրի անհրաժեշտության հիմնավորումը,</w:t>
      </w:r>
      <w:br/>
      <w:r>
        <w:rPr/>
        <w:t xml:space="preserve">         3) Ծրագիրը չի ներկայացվել սույն կարգի պահանջներին համապատասխան։</w:t>
      </w:r>
    </w:p>
    <w:p>
      <w:pPr>
        <w:numPr>
          <w:ilvl w:val="0"/>
          <w:numId w:val="7"/>
        </w:numPr>
      </w:pPr>
      <w:r>
        <w:rPr/>
        <w:t xml:space="preserve">Սույն կարգի 6-րդ կետով նախատեսված ծանուցումն դիմումատուին ուղարկվում է թղթային եղանակով, իսկ ներկայացված դիմումում էլեկտրոնային հասցեն նշված լինելու դեպքում՝ նաև էլեկտրոնային եղանակով:</w:t>
      </w:r>
    </w:p>
    <w:p>
      <w:pPr>
        <w:numPr>
          <w:ilvl w:val="0"/>
          <w:numId w:val="7"/>
        </w:numPr>
      </w:pPr>
      <w:r>
        <w:rPr/>
        <w:t xml:space="preserve">Եթե սույն կարգի 6-րդ կետով սահմանված ժամկետում լիազոր մարմինը դիմումի վերաբերյալ չի ծանուցում դիմումատուին, ապա համաձայնությունը համարվում է տրված: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                                                           Ա. Հարությունյան</w:t>
      </w:r>
    </w:p>
    <w:p>
      <w:pPr/>
      <w:r>
        <w:rPr/>
        <w:t xml:space="preserve">վարչապետի աշխատակազմի</w:t>
      </w:r>
    </w:p>
    <w:p>
      <w:pPr/>
      <w:r>
        <w:rPr/>
        <w:t xml:space="preserve">ղեկավար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E85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506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4E29D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EC3E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92333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842BF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2026-03-31T14:46:12+04:00</dcterms:created>
  <dcterms:modified xsi:type="dcterms:W3CDTF">2026-03-31T14:46:12+04:00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