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ՀԱՆՐԱՊԵՏՈՒԹՅՈՒՆՈՒՄ ՄԱՆՐ ԵՂՋԵՐԱՎՈՐ ԿԵՆԴԱՆԻՆԵՐԻ ԺԱՆՏԱԽՏ ՀԻՎԱՆԴՈՒԹՅԱՆ ՇՃԱՀԵՏԱԶՈՏՈՒԹՅԱՆ ԾՐԱԳԻՐԸ ԵՎ ՄԻՋՈՑԱՌՈՒՄՆԵՐԻ ԿԱՏԱՐՄԱՆ ԺԱՄԱՆԱԿԱՑՈՒՅՑԸ ՀԱՍՏԱՏԵԼՈՒ 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____________________2024 թվականի   N     -Լ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ՀԱՆՐԱՊԵՏՈՒԹՅՈՒՆՈՒՄ ՄԱՆՐ ԵՂՋԵՐԱՎՈՐ ԿԵՆԴԱՆԻՆԵՐԻ ԺԱՆՏԱԽՏ</w:t>
      </w:r>
      <w:r>
        <w:rPr/>
        <w:t xml:space="preserve"> </w:t>
      </w:r>
      <w:r>
        <w:rPr>
          <w:b w:val="1"/>
          <w:bCs w:val="1"/>
        </w:rPr>
        <w:t xml:space="preserve">ՀԻՎԱՆԴՈՒԹՅԱՆ</w:t>
      </w:r>
      <w:r>
        <w:rPr>
          <w:b w:val="1"/>
          <w:bCs w:val="1"/>
        </w:rPr>
        <w:t xml:space="preserve"> ՇՃԱՀԵՏԱԶՈՏՈՒԹՅԱՆ ԾՐԱԳԻՐԸ ԵՎ ՄԻՋՈՑԱՌՈՒՄՆԵՐԻ ԿԱՏԱՐՄԱՆ ԺԱՄԱՆԱԿԱՑՈՒՅՑԸ ՀԱՍՏԱՏԵԼՈՒ </w:t>
      </w:r>
    </w:p>
    <w:p>
      <w:pPr/>
      <w:r>
        <w:rPr/>
        <w:t xml:space="preserve">ՄԱՍԻՆ </w:t>
      </w:r>
    </w:p>
    <w:p>
      <w:pPr/>
      <w:r>
        <w:rPr/>
        <w:t xml:space="preserve"> </w:t>
      </w:r>
    </w:p>
    <w:p>
      <w:pPr/>
      <w:r>
        <w:rPr/>
        <w:t xml:space="preserve">Հիմք ընդունելով Սահմանադրության 146-րդ հոդվածի 4-րդ մասը և «Անասնաբուժության մասին» օրենքի 6-րդ հոդվածի 2-րդ մասի 3-րդ կետը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/>
      <w:r>
        <w:rPr/>
        <w:t xml:space="preserve">1) Հայաստանի Հանրապետությունում մանր եղջերավոր կենդանիների ժանտախտ հիվանդության շճահետազոտության ծրագիրը՝ համաձայն N 1 հավելվածի․</w:t>
      </w:r>
    </w:p>
    <w:p>
      <w:pPr/>
      <w:r>
        <w:rPr/>
        <w:t xml:space="preserve">2) Հայաստանի Հանրապետությունում մանր եղջերավոր կենդանիների ժանտախտ հիվանդության շճահետազոտության ծրագիրը և միջոցառումների կատարման ժամանակացույցը՝ համաձայն N 2 հավելվածի։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 վարչապետ՝                                                                             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N 1</w:t>
      </w:r>
    </w:p>
    <w:p>
      <w:pPr/>
      <w:r>
        <w:rPr/>
        <w:t xml:space="preserve">ՀՀ կառավարության 2024 թվականի</w:t>
      </w:r>
    </w:p>
    <w:p>
      <w:pPr/>
      <w:r>
        <w:rPr/>
        <w:t xml:space="preserve"> ___________-ի   N _____-Լ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ԾՐԱԳԻՐ</w:t>
      </w:r>
    </w:p>
    <w:p>
      <w:pPr/>
      <w:r>
        <w:rPr>
          <w:b w:val="1"/>
          <w:bCs w:val="1"/>
        </w:rPr>
        <w:t xml:space="preserve">ՀԱՅԱՍՏԱՆԻ ՀԱՆՐԱՊԵՏՈՒԹՅՈՒՆՈՒՄ ՄԱՆՐ ԵՂՋԵՐԱՎՈՐ ԿԵՆԴԱՆԻՆԵՐԻ ԺԱՆՏԱԽՏ ՀԻՎԱՆԴՈՒԹՅԱՆ ՇՃԱՀԵՏԱԶՈՏՈՒԹՅԱՆ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ՆԵՐԱԾՈՒԹՅՈՒՆ</w:t>
      </w:r>
    </w:p>
    <w:p>
      <w:pPr>
        <w:numPr>
          <w:ilvl w:val="0"/>
          <w:numId w:val="4"/>
        </w:numPr>
      </w:pPr>
      <w:r>
        <w:rPr/>
        <w:t xml:space="preserve">Մանր եղջերավոր կենդանիների ժանտախտը (այսուհետ՝ ՄԵԿԺ) սուր հպավարակային հիվանդություն է, որի հարուցիչն է Paramyxoviridae ընտանիքի Morbillivirus-ը։ Հիվանդության նկատմամբ ընկալունակ են մանր եղջերավոր կենդանիները՝ ոչխարներն ու այծերը, խոշոր եղջերավոր կենդանիները նույնպես կարող են վարակվել, սակայն վերջիններիս դերը հարուցչի շրջանառության մեջ պաշտոնապես երբևէ հաստատված չի եղել։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համար մանր եղջերավոր կենդանիների ժանտախտ հիվանդության շճահետազոտության ծրագրի (այսուհետ՝ Ծրագիր) իրականացումը կարևորվում է հիվանդության նկատմամբ անասնահամաճարակային կայուն իրավիճակի ապահովման և շրջանառության ու ներթափանցման ռիսկերի գնահատման տեսանկյունից։</w:t>
      </w:r>
    </w:p>
    <w:p>
      <w:pPr>
        <w:numPr>
          <w:ilvl w:val="0"/>
          <w:numId w:val="4"/>
        </w:numPr>
      </w:pPr>
      <w:r>
        <w:rPr/>
        <w:t xml:space="preserve">Հայաստանի Հանրապետությունում ՄԵԿԺ հիվանդությունը երբեք չի գրանցվել, սակայն հիվանդության բռնկման դեպքեր գրանցվել են տարածաշրջանի երկրներում (Թուրքիա, Իրան, Վրաստան):</w:t>
      </w:r>
    </w:p>
    <w:p>
      <w:pPr>
        <w:numPr>
          <w:ilvl w:val="0"/>
          <w:numId w:val="4"/>
        </w:numPr>
      </w:pPr>
      <w:r>
        <w:rPr/>
        <w:t xml:space="preserve">Հայաստանի Հանրապետությունում 2016-2017 թվականին իրականացվել է մանր եղջերավոր կենդանիների (այսուհետ՝ կենդանի) նկատմամբ կանխարգելիչ պատվաստում՝ ելնելով տարածաշրջանում անասնահամաճարակային իրավիճակից։</w:t>
      </w:r>
    </w:p>
    <w:p>
      <w:pPr>
        <w:numPr>
          <w:ilvl w:val="0"/>
          <w:numId w:val="4"/>
        </w:numPr>
      </w:pPr>
      <w:r>
        <w:rPr/>
        <w:t xml:space="preserve">2018 թվականից հանրապետությունում ՄԵԿԺ հիվանդության նկատմամբ պատվաստումներ չեն իրականացվել, և դա արդեն չի դիտարկվում որպես ՄԵԿԺ հիվանդության կանխարգելման միջոց: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ԾՐԱԳՐԻ ԻՐԱԿԱՆԱՑՄԱՆ ԽՆԴԻՐՆԵՐԸ ԵՎ ՆՊԱՏԱԿՆԵՐԸ</w:t>
      </w:r>
    </w:p>
    <w:p>
      <w:pPr>
        <w:numPr>
          <w:ilvl w:val="0"/>
          <w:numId w:val="5"/>
        </w:numPr>
      </w:pPr>
      <w:r>
        <w:rPr/>
        <w:t xml:space="preserve">Ծրագրի իրականացման խնդիրներն են՝</w:t>
      </w:r>
    </w:p>
    <w:p>
      <w:pPr>
        <w:numPr>
          <w:ilvl w:val="0"/>
          <w:numId w:val="6"/>
        </w:numPr>
      </w:pPr>
      <w:r>
        <w:rPr/>
        <w:t xml:space="preserve">2016 և 2024 թվականներին տարածաշրջանում արձանագրված ՄԵԿԺ հիվանդությունը պաշտոնապես հրապարակվել է Կենդանիների առողջության համաշխարհային կազմակերպության (այսուհետ՝ ԿԱՀԿ) պաշտոնական կայքում․</w:t>
      </w:r>
    </w:p>
    <w:p>
      <w:pPr>
        <w:numPr>
          <w:ilvl w:val="0"/>
          <w:numId w:val="6"/>
        </w:numPr>
      </w:pPr>
      <w:r>
        <w:rPr/>
        <w:t xml:space="preserve">Իրանի Իսլամական Հանրապետությունը նույնպես ՄԵԿԺ հիվանդության նկատմամբ համարվում է էնդեմիկ երկիր․</w:t>
      </w:r>
    </w:p>
    <w:p>
      <w:pPr>
        <w:numPr>
          <w:ilvl w:val="0"/>
          <w:numId w:val="6"/>
        </w:numPr>
      </w:pPr>
      <w:r>
        <w:rPr/>
        <w:t xml:space="preserve">հաշվի առնելով տարածաշրջանում ՄԵԿԺ-ի համաճարակային իրավիճակը՝ հիվանդության ներթափանցման տեսանկյունից, Հայաստանի Հանրապետությունը գտնվում է բարձր ռիսկային գոտում։</w:t>
      </w:r>
    </w:p>
    <w:p>
      <w:pPr>
        <w:numPr>
          <w:ilvl w:val="0"/>
          <w:numId w:val="7"/>
        </w:numPr>
      </w:pPr>
      <w:r>
        <w:rPr/>
        <w:t xml:space="preserve">Ծրագրի իրականացման նպատակներն են՝</w:t>
      </w:r>
    </w:p>
    <w:p>
      <w:pPr>
        <w:numPr>
          <w:ilvl w:val="0"/>
          <w:numId w:val="8"/>
        </w:numPr>
      </w:pPr>
      <w:r>
        <w:rPr/>
        <w:t xml:space="preserve">հիմնվելով շճաբանական հետազոտությունների վրա՝ գնահատել հիվանդության հնարավոր ներթափանցման ռիսկերը․</w:t>
      </w:r>
    </w:p>
    <w:p>
      <w:pPr>
        <w:numPr>
          <w:ilvl w:val="0"/>
          <w:numId w:val="8"/>
        </w:numPr>
      </w:pPr>
      <w:r>
        <w:rPr/>
        <w:t xml:space="preserve">հայտնաբերել կամ բացառել ՄԵԿԺ նկատմամբ բարձր և ցածր ռիսկային թիրախային համայնքներում ՄԵԿԺ հիվանդության վիրուսի շրջանառությունը․</w:t>
      </w:r>
    </w:p>
    <w:p>
      <w:pPr>
        <w:numPr>
          <w:ilvl w:val="0"/>
          <w:numId w:val="8"/>
        </w:numPr>
      </w:pPr>
      <w:r>
        <w:rPr/>
        <w:t xml:space="preserve">ապահովել համաճարակաբանական տվյալների վերլուծության շարունակական իրականացումը, որը կնպաստի համաճարակաբանական հսկողության համակարգի կատարելագործմանը․</w:t>
      </w:r>
    </w:p>
    <w:p>
      <w:pPr>
        <w:numPr>
          <w:ilvl w:val="0"/>
          <w:numId w:val="8"/>
        </w:numPr>
      </w:pPr>
      <w:r>
        <w:rPr/>
        <w:t xml:space="preserve">ապահովել ՄԵԿԺ նկատմամբ անասնահամաճարակային կայուն իրավիճակ․</w:t>
      </w:r>
    </w:p>
    <w:p>
      <w:pPr>
        <w:numPr>
          <w:ilvl w:val="0"/>
          <w:numId w:val="8"/>
        </w:numPr>
      </w:pPr>
      <w:r>
        <w:rPr/>
        <w:t xml:space="preserve">ԿԱՀԿ պահանջներին համապատասխան նպաստել Հայաստանի Հանրապետությունը ՄԵԿԺ հիվանդությունից զերծ երկիր ճանաչելու գործընթացին։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ԾՐԱԳՐԻ </w:t>
      </w:r>
      <w:r>
        <w:rPr>
          <w:b w:val="1"/>
          <w:bCs w:val="1"/>
        </w:rPr>
        <w:t xml:space="preserve">ՄԻՋՈՑԱՌՈՒՄՆԵՐԻ ԱՐԴՅՈՒՆԱՎԵՏ ԻՐԱԿԱՆԱՑՄԱՆ</w:t>
      </w:r>
    </w:p>
    <w:p>
      <w:pPr/>
      <w:r>
        <w:rPr>
          <w:b w:val="1"/>
          <w:bCs w:val="1"/>
        </w:rPr>
        <w:t xml:space="preserve"> ԸՆԴՀԱՆՈՒՐ ՆԿԱՐԱԳԻՐԸ </w:t>
      </w:r>
    </w:p>
    <w:p>
      <w:pPr>
        <w:numPr>
          <w:ilvl w:val="0"/>
          <w:numId w:val="10"/>
        </w:numPr>
      </w:pPr>
      <w:r>
        <w:rPr/>
        <w:t xml:space="preserve">Հայաստանի Հանրապետության բոլոր համայնքները խմբավորվում են երկու գոտիների՝ բարձր ռիսկային, որոնք սահմանամերձ համայնքներն են, ինչպես նաև այն համայնքները որտեղ առկա են սեզոնային արոտավայրեր, և ցածր ռիսկային գոտիների, որում ներառված են մնացած համայնքները՝ այդ թվում Հայաստանի Հանրապետության արևելյան սահմանային շրջանները։</w:t>
      </w:r>
    </w:p>
    <w:p>
      <w:pPr>
        <w:numPr>
          <w:ilvl w:val="0"/>
          <w:numId w:val="10"/>
        </w:numPr>
      </w:pPr>
      <w:r>
        <w:rPr/>
        <w:t xml:space="preserve">Հետազոտության մեջ ընդգրկված համայնքները պետք է ունենան 50 գլխից ոչ պակաս մանր եղջերավոր կենդանի (այսուհետ` ՄԵԿ), քանի որ 50 գլխից պակաս գլխաքանակի դեպքում համայնքը կայուն չէ ընտրանքի հավաստիությունն ապահովելու համար։</w:t>
      </w:r>
    </w:p>
    <w:p>
      <w:pPr>
        <w:numPr>
          <w:ilvl w:val="0"/>
          <w:numId w:val="10"/>
        </w:numPr>
      </w:pPr>
      <w:r>
        <w:rPr/>
        <w:t xml:space="preserve">Ծրագրի միջոցառման արդյունավետ իրականացման կարևոր գործոն է նմուշառումը, տվյալների գրանցումը, կառավարումը և վերլուծությունը։</w:t>
      </w:r>
    </w:p>
    <w:p>
      <w:pPr/>
      <w:r>
        <w:rPr/>
        <w:t xml:space="preserve"> </w:t>
      </w:r>
    </w:p>
    <w:p>
      <w:pPr/>
      <w:r>
        <w:rPr/>
        <w:t xml:space="preserve">4․ ՆՄՈՒՇԱՌՄԱՆ ԿԱՌՈՒՑՎԱԾՔԸ</w:t>
      </w:r>
    </w:p>
    <w:p>
      <w:pPr>
        <w:numPr>
          <w:ilvl w:val="0"/>
          <w:numId w:val="11"/>
        </w:numPr>
      </w:pPr>
      <w:r>
        <w:rPr/>
        <w:t xml:space="preserve">Ելնելով համաճարակաբանական նմուշառման մեթոդաբանությունից նմուշառման ընտրանքի օբյեկտը բաղկացած է՝ տարածարջանի, համայնքի և կենդանու ընտրությունից.</w:t>
      </w:r>
    </w:p>
    <w:p>
      <w:pPr/>
      <w:r>
        <w:rPr/>
        <w:t xml:space="preserve">1) համայնքից՝ որպես առաջնային նմուշառման միավոր, նմուշառումն իրականացվում է`</w:t>
      </w:r>
    </w:p>
    <w:p>
      <w:pPr/>
      <w:r>
        <w:rPr/>
        <w:t xml:space="preserve">ա. բարձր ռիսկային գոտում հիվանդության հնարավոր տարածվածությունը հաշվարկվել է 1%, բացարձակ սխալը 5 %, հավաստիությունը 95%։ Ըստ կատարված հաշվարկի 7 մարզերի 15 տարածաշրջանների 208 համայնք ընդգրկվում են բարձր ռիսկային գոտում․</w:t>
      </w:r>
    </w:p>
    <w:p>
      <w:pPr/>
      <w:r>
        <w:rPr/>
        <w:t xml:space="preserve">բ․ ցածր ռիսկային գոտում հիվանդության հնարավոր տարածվածությունը հաշվարկվել է 2%, բացարձակ սխալը 5 %, հավաստիությունը 95%։ Ըստ կատարված հաշվարկի 8 մարզերի 24 տարածաշրջանների 120 համայնք ընդգրկվում են ցածր ռիսկային գոտում։</w:t>
      </w:r>
    </w:p>
    <w:p>
      <w:pPr/>
      <w:r>
        <w:rPr/>
        <w:t xml:space="preserve">2) կենդանուց՝ որպես երկրորդային նմուշառման միավոր, ըստ ռիսկայնության, նմուշառումն իրականացվում է՝</w:t>
      </w:r>
    </w:p>
    <w:p>
      <w:pPr/>
      <w:r>
        <w:rPr/>
        <w:t xml:space="preserve">ա. բարձր ռիսկային գոտու յուրաքանչյուր համայնքից՝ 13 գլուխ և ոչ ռիսկային գոտու յուրաքանչյուր համայնքից՝ նույնպես 13 գլուխ․</w:t>
      </w:r>
    </w:p>
    <w:p>
      <w:pPr/>
      <w:r>
        <w:rPr/>
        <w:t xml:space="preserve">բ․ նմուշառումը ապահովում է կենդանիների ներկայացուցչական և պատահականության սկզբունքով։</w:t>
      </w:r>
    </w:p>
    <w:p>
      <w:pPr/>
      <w:r>
        <w:rPr/>
        <w:t xml:space="preserve">12․ Փաստացի ընտրանքի չափը՝ բարձր ռիսկային գոտիների համար 2704 նմուշ և ցածր ռիսկային գոտիների համար 1573 նմուշ: Ընդամենը մեկ տարվա կտրվածքով 4277 նմուշ` համաձայն N 1 աղյուսակի․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Փաստացի ընտրանքի չափը ըստ ռիսկային գոտիների</w:t>
      </w:r>
    </w:p>
    <w:p>
      <w:pPr/>
      <w:r>
        <w:rPr>
          <w:b w:val="1"/>
          <w:bCs w:val="1"/>
        </w:rPr>
        <w:t xml:space="preserve">Աղյուսակ N 1</w:t>
      </w:r>
      <w:r>
        <w:rPr>
          <w:b w:val="1"/>
          <w:bCs w:val="1"/>
        </w:rPr>
        <w:t xml:space="preserve"> </w:t>
      </w:r>
    </w:p>
    <w:tbl>
      <w:tblGrid>
        <w:gridCol w:w="435" w:type="dxa"/>
        <w:gridCol w:w="2175" w:type="dxa"/>
        <w:gridCol w:w="1740" w:type="dxa"/>
        <w:gridCol w:w="2415" w:type="dxa"/>
        <w:gridCol w:w="1755" w:type="dxa"/>
        <w:gridCol w:w="1455" w:type="dxa"/>
      </w:tblGrid>
      <w:tblPr>
        <w:tblW w:w="9975" w:type="dxa"/>
        <w:tblLayout w:type="autofit"/>
      </w:tblPr>
      <w:tr>
        <w:trPr/>
        <w:tc>
          <w:tcPr>
            <w:tcW w:w="435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Բաժանումներն ըստ ռիսկայնության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Ընտրված համայնքների քանակները</w:t>
            </w:r>
          </w:p>
        </w:tc>
        <w:tc>
          <w:tcPr>
            <w:tcW w:w="5640" w:type="dxa"/>
            <w:gridSpan w:val="3"/>
            <w:noWrap/>
          </w:tcPr>
          <w:p>
            <w:pPr/>
            <w:r>
              <w:rPr/>
              <w:t xml:space="preserve">ՄԵԿ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Ակնկալվող տարածվածությունը</w:t>
            </w:r>
          </w:p>
        </w:tc>
        <w:tc>
          <w:tcPr>
            <w:tcW w:w="1755" w:type="dxa"/>
            <w:noWrap/>
          </w:tcPr>
          <w:p>
            <w:pPr/>
            <w:r>
              <w:rPr/>
              <w:t xml:space="preserve">Նմուշների քանակը յուրաքանչյուր համայնքից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Ամբողջ նմուշներից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1․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Բարձր ռիսկային գոտիներ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5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2704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2․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Ցածր ռիսկային գոտիներ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75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1573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3․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Ընդամենը նմուշները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329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75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4277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Նմուշների կրկնակի փորձաքննության (կորուստ, ոչ բավարար շիճուկներ, անորակ շիճուկներ, հեմոլիզված շիճուկներ, թեստի զգայունության հետ կապված սխալներ) համար հաշվարկվում է փաստացի թեստավորված նմուշների 10,5%-ով գերազանցող քանակը՝ որը կազմում է շուրջ 4730 նմուշ։</w:t>
      </w:r>
    </w:p>
    <w:p>
      <w:pPr/>
      <w:r>
        <w:rPr/>
        <w:t xml:space="preserve"> </w:t>
      </w:r>
    </w:p>
    <w:p>
      <w:pPr/>
      <w:r>
        <w:rPr/>
        <w:t xml:space="preserve">5․ ՆՄՈՒՇԱՌՈՒՄ, ՏՎՅԱԼՆԵՐԻ ԳՐԱՆՑՈՒՄ, ԿԱՌԱՎԱՐՈՒՄ ԵՎ ՎԵՐԼՈՒԾՈՒԹՅՈՒՆ</w:t>
      </w:r>
    </w:p>
    <w:p>
      <w:pPr>
        <w:numPr>
          <w:ilvl w:val="0"/>
          <w:numId w:val="13"/>
        </w:numPr>
      </w:pPr>
      <w:r>
        <w:rPr/>
        <w:t xml:space="preserve">Նմուշառման համար պահանջվող չափանիշներին (ընտրանքի չափ, դրանց համաչափ բաշխվածությունը բնակավայրի տարածքում) ընտրված բնակավայրի անհամապատասխանության դեպքում ընտրվում է այլ՝ աշխարհագրորեն մոտ և նմանատիպ ռիսկային համայնք:</w:t>
      </w:r>
    </w:p>
    <w:p>
      <w:pPr>
        <w:numPr>
          <w:ilvl w:val="0"/>
          <w:numId w:val="13"/>
        </w:numPr>
      </w:pPr>
      <w:r>
        <w:rPr/>
        <w:t xml:space="preserve">Կենդանիներն ընտրվում են պատահականության սկզբունքով, եթե դա տեսականորեն հնարավոր չէ, ապա ընտրանքը կատարվում է ըստ փաստացի առկա գլխաքանակի:</w:t>
      </w:r>
    </w:p>
    <w:p>
      <w:pPr>
        <w:numPr>
          <w:ilvl w:val="0"/>
          <w:numId w:val="13"/>
        </w:numPr>
      </w:pPr>
      <w:r>
        <w:rPr/>
        <w:t xml:space="preserve">Յուրաքանչյուր տնտեսության կենդանիների խմբից ընտրվում է ոչ ավել քան 3 կենդանի (եթե հնարավոր է): Բնակավայրը բաժանվում է ըստ հոտերի կամ կենդանիների աշխարհագրական բաշխվածության, և նմուշառումն իրականացվում է տարբեր խմբերից:</w:t>
      </w:r>
    </w:p>
    <w:p>
      <w:pPr>
        <w:numPr>
          <w:ilvl w:val="0"/>
          <w:numId w:val="13"/>
        </w:numPr>
      </w:pPr>
      <w:r>
        <w:rPr/>
        <w:t xml:space="preserve">Նմուշառումն իրականացվում է ծրագրի շրջանակներում «Գյուղատնտեսական ծառայությունների կազմակերպություն» պետական ոչ առևտրային կազմակերպության (այսուհետ՝ Կազմակերպություն) անասնաբուժական վճարովի ծառայությունների մատուցման պայմանագիր կնքած անասնաբույժի (այսուհետ՝ անասնաբույժ) կողմից՝ շիճուկ անջատիչ վակուումային փորձանոթներով։</w:t>
      </w:r>
    </w:p>
    <w:p>
      <w:pPr>
        <w:numPr>
          <w:ilvl w:val="0"/>
          <w:numId w:val="13"/>
        </w:numPr>
      </w:pPr>
      <w:r>
        <w:rPr/>
        <w:t xml:space="preserve">Անասնաբույժի կողմից տվյալները լրացվում է ընթեռնելի՝ N 1 ձևի հանձնման–ընդունման թերթիկում, նմուշառումից հետո փորձանոթները պիտակավորվում է։</w:t>
      </w:r>
    </w:p>
    <w:p>
      <w:pPr>
        <w:numPr>
          <w:ilvl w:val="0"/>
          <w:numId w:val="13"/>
        </w:numPr>
      </w:pPr>
      <w:r>
        <w:rPr/>
        <w:t xml:space="preserve">Անասնաբույժը նմուշները և Ձև N 1 թերթիկը հանձնում է Սննդամթերքի անվտանգության տեսչական մարմնի (այսուհետ՝ Տեսչական մարմին) մարզային կենտրոնի տեսուչին։</w:t>
      </w:r>
    </w:p>
    <w:p>
      <w:pPr/>
      <w:r>
        <w:rPr/>
        <w:t xml:space="preserve"> </w:t>
      </w:r>
    </w:p>
    <w:p>
      <w:pPr/>
      <w:r>
        <w:rPr/>
        <w:t xml:space="preserve">Ձև N 1</w:t>
      </w:r>
    </w:p>
    <w:p>
      <w:pPr/>
      <w:r>
        <w:rPr/>
        <w:t xml:space="preserve">«____» «_______» 20    թվականի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ԹԵՐԹԻԿ</w:t>
      </w:r>
    </w:p>
    <w:p>
      <w:pPr/>
      <w:r>
        <w:rPr/>
        <w:t xml:space="preserve">հանձնման-ընդունման</w:t>
      </w:r>
    </w:p>
    <w:p>
      <w:pPr/>
      <w:r>
        <w:rPr/>
        <w:t xml:space="preserve">«Մանր եղջերավոր կենդանիների ժանտախտ հիվանդության շճահետազոտության» ծրագրի շրջանակներում արյան նմուշների</w:t>
      </w:r>
    </w:p>
    <w:p>
      <w:pPr/>
      <w:r>
        <w:rPr/>
        <w:t xml:space="preserve"> </w:t>
      </w:r>
    </w:p>
    <w:tbl>
      <w:tblGrid>
        <w:gridCol w:w="555" w:type="dxa"/>
        <w:gridCol w:w="1065" w:type="dxa"/>
        <w:gridCol w:w="1260" w:type="dxa"/>
        <w:gridCol w:w="1260" w:type="dxa"/>
        <w:gridCol w:w="1170" w:type="dxa"/>
        <w:gridCol w:w="1080" w:type="dxa"/>
        <w:gridCol w:w="1350" w:type="dxa"/>
        <w:gridCol w:w="2340" w:type="dxa"/>
      </w:tblGrid>
      <w:tblPr>
        <w:tblW w:w="10080" w:type="dxa"/>
        <w:tblLayout w:type="autofit"/>
      </w:tblPr>
      <w:tr>
        <w:trPr/>
        <w:tc>
          <w:tcPr>
            <w:tcW w:w="555" w:type="dxa"/>
            <w:noWrap/>
          </w:tcPr>
          <w:p>
            <w:pPr/>
            <w:r>
              <w:rPr/>
              <w:t xml:space="preserve">հհ/հ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Նմուշի նույնականա</w:t>
            </w:r>
          </w:p>
          <w:p>
            <w:pPr/>
            <w:r>
              <w:rPr/>
              <w:t xml:space="preserve">ցման համար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Մարզ/տարածաշրջան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Բնակավայր / համայնք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Նմուշառման ամսաթիվը </w:t>
            </w:r>
          </w:p>
        </w:tc>
        <w:tc>
          <w:tcPr>
            <w:tcW w:w="2430" w:type="dxa"/>
            <w:gridSpan w:val="2"/>
            <w:noWrap/>
          </w:tcPr>
          <w:p>
            <w:pPr/>
            <w:r>
              <w:rPr/>
              <w:t xml:space="preserve">Կենդանու տվյալները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Անասնատիրոջ</w:t>
            </w:r>
          </w:p>
          <w:p>
            <w:pPr/>
            <w:r>
              <w:rPr/>
              <w:t xml:space="preserve">Տվյալները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Սեռը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Տարիքը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անուն, ազգանուն,</w:t>
            </w:r>
          </w:p>
          <w:p>
            <w:pPr/>
            <w:r>
              <w:rPr/>
              <w:t xml:space="preserve">հեռախոսահամար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Անասնաբույժը հանձնեց՝  __________________              ________________________</w:t>
      </w:r>
    </w:p>
    <w:p>
      <w:pPr/>
      <w:r>
        <w:rPr/>
        <w:t xml:space="preserve">        տորագրություն)                           (անուն, ազգանուն)</w:t>
      </w:r>
    </w:p>
    <w:p>
      <w:pPr/>
      <w:r>
        <w:rPr/>
        <w:t xml:space="preserve"> </w:t>
      </w:r>
    </w:p>
    <w:p>
      <w:pPr/>
      <w:r>
        <w:rPr/>
        <w:t xml:space="preserve">Տեսուչն ստացավ՝             __________________            _______________________</w:t>
      </w:r>
    </w:p>
    <w:p>
      <w:pPr/>
      <w:r>
        <w:rPr/>
        <w:t xml:space="preserve">                                 (ստորագրություն)                          (անուն, ազգանուն)   </w:t>
      </w:r>
    </w:p>
    <w:p>
      <w:pPr>
        <w:numPr>
          <w:ilvl w:val="0"/>
          <w:numId w:val="14"/>
        </w:numPr>
      </w:pPr>
      <w:r>
        <w:rPr/>
        <w:t xml:space="preserve">Տեսչական մարմնի մարզային կենտրոնի տեսուչը նմուշները հավաքագրում, գրացում և տեղափոխում է լաբորատորիա՝ 48 ժամվա ընթացքում:</w:t>
      </w:r>
    </w:p>
    <w:p>
      <w:pPr>
        <w:numPr>
          <w:ilvl w:val="0"/>
          <w:numId w:val="14"/>
        </w:numPr>
      </w:pPr>
      <w:r>
        <w:rPr/>
        <w:t xml:space="preserve">Նմուշների տվյալները գրանցվում են գրանցամատյանում՝ անասնաբույժի կողմից, որը ներառում է հետևյալ նվազագույն համաճարակաբանական տվյալները.</w:t>
      </w:r>
    </w:p>
    <w:p>
      <w:pPr>
        <w:numPr>
          <w:ilvl w:val="0"/>
          <w:numId w:val="15"/>
        </w:numPr>
      </w:pPr>
      <w:r>
        <w:rPr/>
        <w:t xml:space="preserve">նմուշի նույնականացման համարը․</w:t>
      </w:r>
    </w:p>
    <w:p>
      <w:pPr>
        <w:numPr>
          <w:ilvl w:val="0"/>
          <w:numId w:val="15"/>
        </w:numPr>
      </w:pPr>
      <w:r>
        <w:rPr/>
        <w:t xml:space="preserve">նմուշառման ամսաթիվը․</w:t>
      </w:r>
    </w:p>
    <w:p>
      <w:pPr>
        <w:numPr>
          <w:ilvl w:val="0"/>
          <w:numId w:val="15"/>
        </w:numPr>
      </w:pPr>
      <w:r>
        <w:rPr/>
        <w:t xml:space="preserve">կենդանու գտնվելու վայրը` մարզ, տարածաշրջան, համայնք / բնակավայր․</w:t>
      </w:r>
    </w:p>
    <w:p>
      <w:pPr>
        <w:numPr>
          <w:ilvl w:val="0"/>
          <w:numId w:val="15"/>
        </w:numPr>
      </w:pPr>
      <w:r>
        <w:rPr/>
        <w:t xml:space="preserve">անասնատիրոջ անունը և ազգանունը․</w:t>
      </w:r>
    </w:p>
    <w:p>
      <w:pPr>
        <w:numPr>
          <w:ilvl w:val="0"/>
          <w:numId w:val="15"/>
        </w:numPr>
      </w:pPr>
      <w:r>
        <w:rPr/>
        <w:t xml:space="preserve">կենդանու տվյալները (սեռը, տարիքը)։</w:t>
      </w:r>
    </w:p>
    <w:p>
      <w:pPr>
        <w:numPr>
          <w:ilvl w:val="1"/>
          <w:numId w:val="15"/>
        </w:numPr>
      </w:pPr>
      <w:r>
        <w:rPr/>
        <w:t xml:space="preserve">Նմուշների փորձաքննությունն իրականացվում է «Հանրապետական անասնաբուժասանիտարական և բուսասանիտարական լաբորատոր ծառայությունների կենտրոն» պետական ոչ առևտրային կազմակերպության այսուհետ՝ Լաբորատորիա) կողմից՝ հետևյալ մոտեցումներով.</w:t>
      </w:r>
    </w:p>
    <w:p>
      <w:pPr>
        <w:numPr>
          <w:ilvl w:val="0"/>
          <w:numId w:val="15"/>
        </w:numPr>
      </w:pPr>
      <w:r>
        <w:rPr/>
        <w:t xml:space="preserve">մանր եղջերավոր կենդանիների արյան շիճուկում հետազոտել ՄԵԿԺ հակամարմինների առկայությունը իմունաֆերմենտային անալիզի (այսուհետ՝ ԻՖԱ) մեթոդի կիրառությամբ․</w:t>
      </w:r>
    </w:p>
    <w:p>
      <w:pPr>
        <w:numPr>
          <w:ilvl w:val="0"/>
          <w:numId w:val="15"/>
        </w:numPr>
      </w:pPr>
      <w:r>
        <w:rPr/>
        <w:t xml:space="preserve">կասկածելի արդյունքների դեպքում կրկնել փորձաքննությունը նույն մեթոդով․</w:t>
      </w:r>
    </w:p>
    <w:p>
      <w:pPr>
        <w:numPr>
          <w:ilvl w:val="0"/>
          <w:numId w:val="15"/>
        </w:numPr>
      </w:pPr>
      <w:r>
        <w:rPr/>
        <w:t xml:space="preserve">դրական կամ կեղծ դրական արդյունքների ճշգրտման համար ունենալ պոլիմերազային շղթայական ռեակցիայի (այսուհետ՝ ՊՇՌ) իրականացման հնարավորություն․</w:t>
      </w:r>
    </w:p>
    <w:p>
      <w:pPr>
        <w:numPr>
          <w:ilvl w:val="0"/>
          <w:numId w:val="15"/>
        </w:numPr>
      </w:pPr>
      <w:r>
        <w:rPr/>
        <w:t xml:space="preserve">ապահովել այլ անհրաժեշտ պայմաններ նմուշների պահպանման և փորձաքննության համար:</w:t>
      </w:r>
    </w:p>
    <w:p>
      <w:pPr>
        <w:numPr>
          <w:ilvl w:val="0"/>
          <w:numId w:val="16"/>
        </w:numPr>
      </w:pPr>
      <w:r>
        <w:rPr/>
        <w:t xml:space="preserve">ՄԵԿԺ հիվանդության նկատմամբ ԻՖԱ-ով հետազոտության ժամանակ դրական արդյունք ստանալու դեպքում անհրաժեշտ է իրականացնել կրկնակի նմուշառում տվյալ համաճարակաբանական միավորից՝ փոքր թվաքանակի դեպքում պետք է նմուշառվի կամ ամբողջ համաճարակաբանական միավորը (նախիր, ամառային/ձմեռային արոտավայրերում առկա հոտ) կամ այնպիսի հաշվարկով, որը համապատսխան է 2% տարածվածությանը:</w:t>
      </w:r>
    </w:p>
    <w:p>
      <w:pPr>
        <w:numPr>
          <w:ilvl w:val="0"/>
          <w:numId w:val="16"/>
        </w:numPr>
      </w:pPr>
      <w:r>
        <w:rPr/>
        <w:t xml:space="preserve">Դաշտային և լաբորատոր բոլոր տվյալները մուտքագրվում են էլեկտրոնային տարբերակով տվյալների վերլուծության համար: Բոլոր թեստային արդյունքները դաշտային տվյալների հետ միասին գրանցվում են աշխարհագրական տեղեկատվական համակարգի (GIS) տվյալների բազայում: Տվյալների էլեկտրոնային և թղթային տարբերակները պահպանվում են Լաբորատորիայում:</w:t>
      </w:r>
    </w:p>
    <w:p>
      <w:pPr/>
      <w:r>
        <w:rPr/>
        <w:t xml:space="preserve">25․ Փորձաքննության տվյալների վերլուծությունն իրականացվում է «Սննդամթերքի անվտանգության ոլորտի ռիսկերի գնահատման և վերլուծության գիտական կենտրոն» փակ բաժնետիրական ընկերության (այսուհետ՝ Գիտական կենտրոն) կողմից։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ԾՐԱԳՐԻ ԻՐԱԿԱՆԱՑՄԱՆ ՌԻՍԿԵՐԸ</w:t>
      </w:r>
    </w:p>
    <w:p>
      <w:pPr/>
      <w:r>
        <w:rPr/>
        <w:t xml:space="preserve">26․  Ծրագրի իրականացման ռիսկերն են`</w:t>
      </w:r>
    </w:p>
    <w:p>
      <w:pPr>
        <w:numPr>
          <w:ilvl w:val="0"/>
          <w:numId w:val="18"/>
        </w:numPr>
      </w:pPr>
      <w:r>
        <w:rPr/>
        <w:t xml:space="preserve">ախտորոշիչ հավաքածուների անկանխատեսելի գնային բարձրացումը․</w:t>
      </w:r>
    </w:p>
    <w:p>
      <w:pPr>
        <w:numPr>
          <w:ilvl w:val="0"/>
          <w:numId w:val="18"/>
        </w:numPr>
      </w:pPr>
      <w:r>
        <w:rPr/>
        <w:t xml:space="preserve">ֆինանսավորման դադարեցումը կամ նվազեցումը․</w:t>
      </w:r>
    </w:p>
    <w:p>
      <w:pPr>
        <w:numPr>
          <w:ilvl w:val="0"/>
          <w:numId w:val="18"/>
        </w:numPr>
      </w:pPr>
      <w:r>
        <w:rPr/>
        <w:t xml:space="preserve">արյան նմուշառման կամ պահպանման ոչ պատշաճ իրականացումը։</w:t>
      </w:r>
    </w:p>
    <w:p>
      <w:pPr>
        <w:numPr>
          <w:ilvl w:val="0"/>
          <w:numId w:val="19"/>
        </w:numPr>
      </w:pPr>
      <w:r>
        <w:rPr/>
        <w:t xml:space="preserve">Ծրագրի ռիսկերի հաղթահարման հնարավոր ուղիներն են՝</w:t>
      </w:r>
    </w:p>
    <w:p>
      <w:pPr>
        <w:numPr>
          <w:ilvl w:val="0"/>
          <w:numId w:val="20"/>
        </w:numPr>
      </w:pPr>
      <w:r>
        <w:rPr/>
        <w:t xml:space="preserve">յուրաքանչյուր տարի Հայաստանի Հանրապետության «Պետական բյուջեի մասին» օրենքով ծրագրի իրականացման համար սահմանվող անհրաժեշտ ֆինանսական միջոցների տրամադրումը․</w:t>
      </w:r>
    </w:p>
    <w:p>
      <w:pPr>
        <w:numPr>
          <w:ilvl w:val="0"/>
          <w:numId w:val="20"/>
        </w:numPr>
      </w:pPr>
      <w:r>
        <w:rPr/>
        <w:t xml:space="preserve">ախտորոշիչ հավաքածուների ձեռքբերման ապահովումը՝ առաջանահերթությունից ելնելով Հայաստանի Հանրապետության գնումների օրենսդրությամբ սահմանված կարգով մրցույթի կազմակերպման կամ Հայաստանի Հանրապետության օրենսդրությամբ չարգելված այլ աղբյուրների միջոցով։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7</w:t>
      </w:r>
      <w:r>
        <w:rPr/>
        <w:t xml:space="preserve">. </w:t>
      </w:r>
      <w:r>
        <w:rPr>
          <w:b w:val="1"/>
          <w:bCs w:val="1"/>
        </w:rPr>
        <w:t xml:space="preserve">ԾՐԱԳՐԻ ՖԻՆԱՆՍԱՎՈՐՈՒՄԸ</w:t>
      </w:r>
    </w:p>
    <w:p>
      <w:pPr>
        <w:numPr>
          <w:ilvl w:val="0"/>
          <w:numId w:val="21"/>
        </w:numPr>
      </w:pPr>
      <w:r>
        <w:rPr/>
        <w:t xml:space="preserve">Ծրագիրն իրականացվում է յուրաքանչյուր տարի Հայաստանի Հանրապետության «Պետական բյուջեի մասին» օրենքով ծրագրի գծով սահմանվող միջոցների հաշվին կամ Հայաստանի Հանրապետության օրենսդրությամբ չարգելված այլ աղբյուրներով։</w:t>
      </w:r>
    </w:p>
    <w:p>
      <w:pPr>
        <w:numPr>
          <w:ilvl w:val="0"/>
          <w:numId w:val="21"/>
        </w:numPr>
      </w:pPr>
      <w:r>
        <w:rPr/>
        <w:t xml:space="preserve">Ծրագրի միջոցառումների արդյունավետ իրականացումը կապված է ֆինանսական հետևյալ երկու բաղադրիչներից՝</w:t>
      </w:r>
    </w:p>
    <w:p>
      <w:pPr>
        <w:numPr>
          <w:ilvl w:val="1"/>
          <w:numId w:val="21"/>
        </w:numPr>
      </w:pPr>
      <w:r>
        <w:rPr/>
        <w:t xml:space="preserve">ախտորոշիչ հավաքածուների և անասնաբուժական պարագաների ձեռք բերում․</w:t>
      </w:r>
    </w:p>
    <w:p>
      <w:pPr>
        <w:numPr>
          <w:ilvl w:val="1"/>
          <w:numId w:val="21"/>
        </w:numPr>
      </w:pPr>
      <w:r>
        <w:rPr/>
        <w:t xml:space="preserve">նմուշառում, լաբորատոր փորձաքննությունների իրականացում և վերլուծություն: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ԾՐԱԳՐԻ</w:t>
      </w:r>
      <w:r>
        <w:rPr>
          <w:b w:val="1"/>
          <w:bCs w:val="1"/>
        </w:rPr>
        <w:t xml:space="preserve"> ԱՐԴՅՈՒՆՔԱՅԻՆ ՑՈՒՑԱՆԻՇՆԵՐԸ</w:t>
      </w:r>
    </w:p>
    <w:p>
      <w:pPr>
        <w:numPr>
          <w:ilvl w:val="0"/>
          <w:numId w:val="22"/>
        </w:numPr>
      </w:pPr>
      <w:r>
        <w:rPr/>
        <w:t xml:space="preserve">Արդյունքային քանակական ցուցանիշներ, որոնք կստացվեն ՄԵԿԺ հակամարմինների ուսումնասիրության նպատակով իրականացվելիք 4730 նմուշների շճահետազոտությունից։</w:t>
      </w:r>
    </w:p>
    <w:p>
      <w:pPr>
        <w:numPr>
          <w:ilvl w:val="0"/>
          <w:numId w:val="23"/>
        </w:numPr>
      </w:pPr>
      <w:r>
        <w:rPr/>
        <w:t xml:space="preserve">Ծրագրի կատարման արդյունքում ակնկալվում է`</w:t>
      </w:r>
    </w:p>
    <w:p>
      <w:pPr>
        <w:numPr>
          <w:ilvl w:val="0"/>
          <w:numId w:val="24"/>
        </w:numPr>
      </w:pPr>
      <w:r>
        <w:rPr/>
        <w:t xml:space="preserve">հանրապետությունում ՄԵԿԺ հիվանդության վիրուսի շրջանառության բացահայտում․</w:t>
      </w:r>
    </w:p>
    <w:p>
      <w:pPr>
        <w:numPr>
          <w:ilvl w:val="0"/>
          <w:numId w:val="24"/>
        </w:numPr>
      </w:pPr>
      <w:r>
        <w:rPr/>
        <w:t xml:space="preserve">ՄԵԿԺ հիվանդության տարածվածության և ներթափանցման ռիսկերի գնահատում և վերլուծություն․</w:t>
      </w:r>
    </w:p>
    <w:p>
      <w:pPr>
        <w:numPr>
          <w:ilvl w:val="0"/>
          <w:numId w:val="24"/>
        </w:numPr>
      </w:pPr>
      <w:r>
        <w:rPr/>
        <w:t xml:space="preserve">հանրապետությունում ՄԵԿԺ հիվանդության նկատմամբ անասնահամաճարակային իրավիճակի կանխատեսում և գնահատում, հիվանդության դեմ պայքարի միջոցների վերանայում և հետագա ռազմավարական ծրագրի մշակում</w:t>
      </w:r>
    </w:p>
    <w:p>
      <w:pPr>
        <w:numPr>
          <w:ilvl w:val="0"/>
          <w:numId w:val="24"/>
        </w:numPr>
      </w:pPr>
      <w:r>
        <w:rPr/>
        <w:t xml:space="preserve">Հայաստանի Հանրապետության տարածքում կայուն անասնահամաճարակային իրավիճակի ապահովում ՄԵԿԺ հիվանդության նկատմամբ, որն էլ կնպաստի կենդանական ծագման մթերքների և արտադրանքի արտահանման ծավալների ավելացմանը՝ միաժամանակ Հայաստանի Հանրապետության բնակչությանը ապահովելով կենդանական ծագման անվտանգ սննդամթերքով: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ԾՐԱԳՐԻ ՄՈՆԻԹՈՐԻՆԳԸ ԵՎ ԺԱՄԿԵՏՆԵՐԸ</w:t>
      </w:r>
    </w:p>
    <w:p>
      <w:pPr/>
      <w:r>
        <w:rPr/>
        <w:t xml:space="preserve">32․ Մոնիթորինգի իրականացման նպատակն է՝</w:t>
      </w:r>
    </w:p>
    <w:p>
      <w:pPr>
        <w:numPr>
          <w:ilvl w:val="0"/>
          <w:numId w:val="26"/>
        </w:numPr>
      </w:pPr>
      <w:r>
        <w:rPr/>
        <w:t xml:space="preserve">արյունառման և նմուշների հավաքագրման գործընթացի ուսումնասիրությունը․</w:t>
      </w:r>
    </w:p>
    <w:p>
      <w:pPr>
        <w:numPr>
          <w:ilvl w:val="0"/>
          <w:numId w:val="26"/>
        </w:numPr>
      </w:pPr>
      <w:r>
        <w:rPr/>
        <w:t xml:space="preserve">գրանցամատյանում լրացված տվյալների անհամապատասխանությունների հայտնաբերումը կամ բացառումը․</w:t>
      </w:r>
    </w:p>
    <w:p>
      <w:pPr>
        <w:numPr>
          <w:ilvl w:val="0"/>
          <w:numId w:val="26"/>
        </w:numPr>
      </w:pPr>
      <w:r>
        <w:rPr/>
        <w:t xml:space="preserve">լաբորատորիայում լաբորատոր փորձաքննության արդյունքների, տվյալների գրառումների, շիճաբանկի կառավարման աշխատանքների, շիճուկի պահման պայմանների պարբերաբար ստուգումը․</w:t>
      </w:r>
    </w:p>
    <w:p>
      <w:pPr>
        <w:numPr>
          <w:ilvl w:val="0"/>
          <w:numId w:val="26"/>
        </w:numPr>
      </w:pPr>
      <w:r>
        <w:rPr/>
        <w:t xml:space="preserve">ծրագրի իրականացմանը խոչընդոտող խնդիրների բացահայտումը:</w:t>
      </w:r>
    </w:p>
    <w:p>
      <w:pPr>
        <w:numPr>
          <w:ilvl w:val="0"/>
          <w:numId w:val="27"/>
        </w:numPr>
      </w:pPr>
      <w:r>
        <w:rPr/>
        <w:t xml:space="preserve">Մոնիթորինգն իրականացվում է աշխատանքային խմբի՝ Էկոնոմիկայի նախարարության, Տեսչական մարմնի, Լաբորատորիայի և Գիտական կենտրոնի մասնագետների կողմից:</w:t>
      </w:r>
    </w:p>
    <w:p>
      <w:pPr>
        <w:numPr>
          <w:ilvl w:val="0"/>
          <w:numId w:val="27"/>
        </w:numPr>
      </w:pPr>
      <w:r>
        <w:rPr/>
        <w:t xml:space="preserve">Նմուշները պետք է վերցվեն ամեն տարի գարնանը, մինչև մանր եղջերավոր կենդանիների արոտ դուրս գալը:</w:t>
      </w:r>
    </w:p>
    <w:p>
      <w:pPr>
        <w:numPr>
          <w:ilvl w:val="0"/>
          <w:numId w:val="27"/>
        </w:numPr>
      </w:pPr>
      <w:r>
        <w:rPr/>
        <w:t xml:space="preserve">Ծրագիրը պետք է լինի կայուն և ունենա առնվազն երեք տարվա տևողություն՝ ամենամյա հնարավոր վերանայման հնարավորությամբ: Լրացուցիչ փոփոխություններ պետք է կատարվեն նախնական եռամյա ժամանակահատվածից հետո արդյունքների վերլուծության հիման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Հավելված N 2</w:t>
      </w:r>
    </w:p>
    <w:p>
      <w:pPr/>
      <w:r>
        <w:rPr>
          <w:b w:val="1"/>
          <w:bCs w:val="1"/>
        </w:rPr>
        <w:t xml:space="preserve">ՀՀ կառավարության 2024 թվականի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___________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  N _____-</w:t>
      </w:r>
      <w:r>
        <w:rPr>
          <w:b w:val="1"/>
          <w:bCs w:val="1"/>
        </w:rPr>
        <w:t xml:space="preserve">Լ որոշմա</w:t>
      </w:r>
      <w:r>
        <w:rPr>
          <w:b w:val="1"/>
          <w:bCs w:val="1"/>
        </w:rPr>
        <w:t xml:space="preserve">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Ժ Ա Մ Ա Ն Ա Կ Ա Ց ՈՒ Յ Ց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ՀԱՆՐԱՊԵՏՈՒԹՅՈՒՆՈՒՄ </w:t>
      </w:r>
      <w:r>
        <w:rPr>
          <w:b w:val="1"/>
          <w:bCs w:val="1"/>
        </w:rPr>
        <w:t xml:space="preserve">ՄԱՆՐ ԵՂՋԵՐԱՎՈՐ ԿԵՆԴԱՆԻՆԵՐԻ ԺԱՆՏԱԽՏ</w:t>
      </w:r>
      <w:r>
        <w:rPr>
          <w:b w:val="1"/>
          <w:bCs w:val="1"/>
        </w:rPr>
        <w:t xml:space="preserve"> ՀԻՎԱՆԴՈՒԹՅԱՆ ՇՃԱՀԵՏԱԶՈՏՈՒԹՅԱՆ ԾՐԱԳՐԻ ՄԻՋՈՑԱՌՈՒՄՆԵՐԻ ԿԱՏԱՐՄԱՆ</w:t>
      </w:r>
    </w:p>
    <w:p>
      <w:pPr/>
      <w:r>
        <w:rPr/>
        <w:t xml:space="preserve"> </w:t>
      </w:r>
    </w:p>
    <w:tbl>
      <w:tblGrid>
        <w:gridCol w:w="645" w:type="dxa"/>
        <w:gridCol w:w="3495" w:type="dxa"/>
        <w:gridCol w:w="2970" w:type="dxa"/>
        <w:gridCol w:w="2775" w:type="dxa"/>
      </w:tblGrid>
      <w:tblPr>
        <w:tblW w:w="9885" w:type="dxa"/>
        <w:tblLayout w:type="autofit"/>
      </w:tblPr>
      <w:tr>
        <w:trPr/>
        <w:tc>
          <w:tcPr>
            <w:tcW w:w="645" w:type="dxa"/>
            <w:noWrap/>
          </w:tcPr>
          <w:p>
            <w:pPr/>
            <w:r>
              <w:rPr/>
              <w:t xml:space="preserve">հհ/հ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Միջոցառում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Պատասխանատու կատարողները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Ժամկետները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1․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Բյուջետային հայտի</w:t>
            </w:r>
          </w:p>
          <w:p>
            <w:pPr/>
            <w:r>
              <w:rPr/>
              <w:t xml:space="preserve">կազմում և ներկայացում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Տեսչական մարմին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յուրաքանչյուր տարվա</w:t>
            </w:r>
          </w:p>
          <w:p>
            <w:pPr/>
            <w:r>
              <w:rPr/>
              <w:t xml:space="preserve">1-ին և 2-րդ եռամսյակ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22․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Ախտորոշիչ հավաքածուների ձեռքբերում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Տեսչական մարմին,</w:t>
            </w:r>
          </w:p>
          <w:p>
            <w:pPr/>
            <w:r>
              <w:rPr/>
              <w:t xml:space="preserve">Լաբորատորիա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յուրաքանչյուր տարվա</w:t>
            </w:r>
          </w:p>
          <w:p>
            <w:pPr/>
            <w:r>
              <w:rPr/>
              <w:t xml:space="preserve">1-ին եռամսյակ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33․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Մարզի, համայնքի /բնակավայրի և տնտեսույթան ընտրություն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Տեսչական մարմին,</w:t>
            </w:r>
          </w:p>
          <w:p>
            <w:pPr/>
            <w:r>
              <w:rPr/>
              <w:t xml:space="preserve">Գիտական կենտրոն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յուրաքանչյուր տարվա</w:t>
            </w:r>
          </w:p>
          <w:p>
            <w:pPr/>
            <w:r>
              <w:rPr/>
              <w:t xml:space="preserve">2–րդ կիսամյակ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44․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ՄԵԿ-ի արյան նմուշառում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Կազմակերպությունը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յուրաքանչյուր տարվա</w:t>
            </w:r>
          </w:p>
          <w:p>
            <w:pPr/>
            <w:r>
              <w:rPr/>
              <w:t xml:space="preserve">1–րդ կիսամյակ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55․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Նմուշների հավաքագրում, գրացում և տեղափոխում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Տեսչական մարմին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յուրաքանչյուր տարվա</w:t>
            </w:r>
          </w:p>
          <w:p>
            <w:pPr/>
            <w:r>
              <w:rPr/>
              <w:t xml:space="preserve">2–րդ կիսամյակ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66․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Արյան նմուշների լաբորատոր շճաբանական հետազոտություն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Լաբորատորիա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յուրաքանչյուր</w:t>
            </w:r>
          </w:p>
          <w:p>
            <w:pPr/>
            <w:r>
              <w:rPr/>
              <w:t xml:space="preserve">3-րդ եռամսյակ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77․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Արդյունքների վերլուծություն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Գիտական կենտրոն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յուրաքանչյուր տարվա</w:t>
            </w:r>
          </w:p>
          <w:p>
            <w:pPr/>
            <w:r>
              <w:rPr/>
              <w:t xml:space="preserve">4-րդ եռամսյակ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8F5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36271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829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556D5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7E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84B8A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B7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D17B3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C3EAF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F5F01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9A940B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5B73F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FE35E6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9E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E6603A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97B1F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F6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BCABC7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F6F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57F93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5BCA3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075C3B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5A3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30228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549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44AAE0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2026-03-31T09:51:28+04:00</dcterms:created>
  <dcterms:modified xsi:type="dcterms:W3CDTF">2026-03-31T09:51:28+04:00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