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«ՈՍԿԵՐՉՈՒԹՅԱՆ ԵՎ ԱԴԱՄԱՆԴԱԳՈՐԾՈՒԹՅԱՆ ԶԱՐԳԱՑՄԱՆ ՀՆԳԱՄՅԱ ԾՐԱԳԻՐԸ ԵՎ ԴՐԱ ԻՐԱԿԱՆԱՑՈՒՄՆ ԱՊԱՀՈՎՈՂ ՄԻՋՈՑԱՌՈՒՄՆԵՐԻ ԾՐԱԳԻՐԸ ՀԱՍՏԱՏԵԼՈՒ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2023 թվականի ….. …….. -ի N ….-Լ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ՈՍԿԵՐՉՈՒԹՅԱՆ ԵՎ ԱԴԱՄԱՆԴԱԳՈՐԾՈՒԹՅԱՆ ԶԱՐԳԱՑՄԱՆ ՀՆԳԱՄՅԱ ԾՐԱԳԻՐԸ </w:t>
      </w:r>
      <w:r>
        <w:rPr>
          <w:b w:val="1"/>
          <w:bCs w:val="1"/>
        </w:rPr>
        <w:t xml:space="preserve">ԵՎ ԴՐԱ ԻՐԱԿԱՆԱՑՈՒՄՆ ԱՊԱՀՈՎՈՂ ՄԻՋՈՑԱՌՈՒՄՆԵՐԻ ԾՐԱԳԻՐԸ </w:t>
      </w:r>
      <w:r>
        <w:rPr>
          <w:b w:val="1"/>
          <w:bCs w:val="1"/>
        </w:rPr>
        <w:t xml:space="preserve">ՀԱՍՏԱՏԵԼՈՒ 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մասով, «Արդյունաբերական քաղաքականության մասին» Հայաստանի Հանրապետության օրենքի 4-րդ և 5-րդ հոդվածներով, և հիմք ընդունելով Հայաստանի Հանրապետության կառավարության 2021 թվականի նոյեմբերի 18-ի N 1902-Լ որոշմամբ հաստատված հավելված 1-ի «Էկոնոմիկայի նախարարություն» բաժնի 7.1 կետը՝ Հայաստանի Հանրապետության կառավարությունը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ւ 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1"/>
          <w:numId w:val="2"/>
        </w:numPr>
      </w:pPr>
      <w:r>
        <w:rPr/>
        <w:t xml:space="preserve">Ոսկերչության և ադամանդագործության զարգացման հնգամյա ծրագիրը` համաձայն N 1 հավելվածի,</w:t>
      </w:r>
    </w:p>
    <w:p>
      <w:pPr>
        <w:numPr>
          <w:ilvl w:val="1"/>
          <w:numId w:val="2"/>
        </w:numPr>
      </w:pPr>
      <w:r>
        <w:rPr/>
        <w:t xml:space="preserve">Ոսկերչության և ադամանդագործության զարգացման հնգամյա ծրագրի իրականացումն ապահովող միջոցառումների ծրագիրը՝ համաձայն N 2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Նիկոլ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66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2026-03-31T11:45:13+04:00</dcterms:created>
  <dcterms:modified xsi:type="dcterms:W3CDTF">2026-03-31T11:45:13+04:00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