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Ոստիկանության մասին Հայաստանի Հանրապետության օրենքում լրացում կատարելու մասին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ՈՍՏԻԿԱՆՈՒԹՅԱՆ ՄԱՍԻՆ 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Ոստիկանության մասին</w:t>
      </w:r>
      <w:r>
        <w:rPr>
          <w:b w:val="1"/>
          <w:bCs w:val="1"/>
        </w:rPr>
        <w:t xml:space="preserve"> 2001 թվականի ապրիլի 16-ի ՀՕ-177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  19-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 6-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</w:t>
      </w:r>
      <w:r>
        <w:rPr>
          <w:b w:val="1"/>
          <w:bCs w:val="1"/>
        </w:rPr>
        <w:t xml:space="preserve">ից հետո</w:t>
      </w:r>
      <w:r>
        <w:rPr/>
        <w:t xml:space="preserve"> </w:t>
      </w:r>
      <w:r>
        <w:rPr>
          <w:b w:val="1"/>
          <w:bCs w:val="1"/>
        </w:rPr>
        <w:t xml:space="preserve">լրացնել</w:t>
      </w:r>
      <w:r>
        <w:rPr/>
        <w:t xml:space="preserve"> </w:t>
      </w:r>
      <w:r>
        <w:rPr>
          <w:b w:val="1"/>
          <w:bCs w:val="1"/>
        </w:rPr>
        <w:t xml:space="preserve">հետևյալ</w:t>
      </w:r>
      <w:r>
        <w:rPr/>
        <w:t xml:space="preserve"> </w:t>
      </w:r>
      <w:r>
        <w:rPr>
          <w:b w:val="1"/>
          <w:bCs w:val="1"/>
        </w:rPr>
        <w:t xml:space="preserve">բովանդակությամբ</w:t>
      </w:r>
      <w:r>
        <w:rPr/>
        <w:t xml:space="preserve"> </w:t>
      </w:r>
      <w:r>
        <w:rPr>
          <w:b w:val="1"/>
          <w:bCs w:val="1"/>
        </w:rPr>
        <w:t xml:space="preserve">նոր</w:t>
      </w:r>
      <w:r>
        <w:rPr/>
        <w:t xml:space="preserve"> </w:t>
      </w:r>
      <w:r>
        <w:rPr>
          <w:b w:val="1"/>
          <w:bCs w:val="1"/>
        </w:rPr>
        <w:t xml:space="preserve">կետով</w:t>
      </w:r>
      <w:r>
        <w:rPr>
          <w:b w:val="1"/>
          <w:bCs w:val="1"/>
        </w:rPr>
        <w:t xml:space="preserve">.</w:t>
      </w:r>
    </w:p>
    <w:p>
      <w:pPr/>
      <w:r>
        <w:rPr/>
        <w:t xml:space="preserve">Կառավարության սահմանած կարգով արտաքին գործերի նախարարությանը տրամադրելու դատապարտված և հետախուզման մեջ գտնվող անձանց վերաբերյալ տեղեկատվություն՝ օտարերկրյա պետություններ ներկայացնելու համար անձանց դատվածության և հետախուզման բացակայության մասին տեղեկանքներ ձևակերպելու նպատակով: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2026-04-03T17:13:52+04:00</dcterms:created>
  <dcterms:modified xsi:type="dcterms:W3CDTF">2026-04-03T17:13:52+04:00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