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«ՖԻՆԱՆՍԱԿԱՆ ՀԱՄԱՀԱՐԹԵՑՄԱՆ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ՖԻՆԱՆՍԱԿԱՆ</w:t>
      </w:r>
      <w:r>
        <w:rPr/>
        <w:t xml:space="preserve"> </w:t>
      </w:r>
      <w:r>
        <w:rPr>
          <w:b w:val="1"/>
          <w:bCs w:val="1"/>
        </w:rPr>
        <w:t xml:space="preserve">ՀԱՄԱՀԱՐԹԵՑՄԱՆ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«Ֆինանսական համահարթեցման մասին» Հայաստանի Հանրապետության 2016 թվականի հոկտեմբերի 20-ի ՀՕ-202-Ն օրենքի (այսուհետ՝ Օրենք) 2-րդ հոդվածի 1-ին մասի 4-րդ կետը շարադրել հետևյալ խմբագրությամբ.</w:t>
      </w:r>
    </w:p>
    <w:p>
      <w:pPr/>
      <w:r>
        <w:rPr/>
        <w:t xml:space="preserve">«4. համայնքի եկամտային կարողություն` համայնքի բյուջեին օրենքով ամրագրված և սույն օրենքի շրջանակներում նախատեսված անշարժ գույքի հարկի, փոխադրամիջոցների գույքահարկի, մասհանվող հարկերի, պետական տուրքերի և օրենքի «ա» մասով հատկացվող դոտացիաների հանրագումարը․».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6-րդ հոդվածը շարադրել հետևյալ խմբագրությամբ․</w:t>
      </w:r>
    </w:p>
    <w:p>
      <w:pPr/>
      <w:r>
        <w:rPr/>
        <w:t xml:space="preserve">«1. «ա» մասով դոտացիաներ հատկացվում են այն համայնքներին, որոնց բնակչության քանակը չի գերազանցում 3500-ը, ինչպես նաև այն համայնքներին, որոնց կազմում ընդգրկված են սահմանամերձ բնակավայրեր։</w:t>
      </w:r>
    </w:p>
    <w:p>
      <w:pPr/>
      <w:r>
        <w:rPr/>
        <w:t xml:space="preserve">2. «ա»մասով մինչև 3500 բնակիչ ունեցող յուրաքանչյուր համայնքին և սահմանամերձ յուրաքանչյուր բնակավայրին դոտացիաները հատկացվում են համապատասխանաբար հավասարաչափ գումարներով, որոնց չափերը սահմանվում են տվյալ տարվա «Հայաստանի Հանրապետության պետական բյուջեիմասին» Հայաստանի Հանրապետության օրենքով:</w:t>
      </w:r>
    </w:p>
    <w:p>
      <w:pPr/>
      <w:r>
        <w:rPr/>
        <w:t xml:space="preserve">3. Համայնքի բնակչության քանակը տվյալ համայնքի տարածքում հաշվառված բնակչության թիվն է` հաշվարկվող տարվան նախորդող տարվա տարեսկզբի (հունվարի 1-ի) դրությամբ:</w:t>
      </w:r>
    </w:p>
    <w:p>
      <w:pPr/>
      <w:r>
        <w:rPr/>
        <w:t xml:space="preserve">4․ Սահմանամերձ բնակավայրերի, ինչպես նաև համայնքների ցանկը սահմանում է Հայաստանի Հանրապետության կառավարությունը։</w:t>
      </w:r>
    </w:p>
    <w:p>
      <w:pPr/>
      <w:r>
        <w:rPr/>
        <w:t xml:space="preserve">5.«ա»մասով հատկացվող դոտացիաների ընդհանուր գումարը հաշվարկվում է հետևյալ բանաձևով.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</w:t>
      </w:r>
      <w:r>
        <w:rPr>
          <w:b w:val="1"/>
          <w:bCs w:val="1"/>
          <w:vertAlign w:val="superscript"/>
        </w:rPr>
        <w:t xml:space="preserve">Ա</w:t>
      </w:r>
      <w:r>
        <w:rPr>
          <w:b w:val="1"/>
          <w:bCs w:val="1"/>
        </w:rPr>
        <w:t xml:space="preserve"> = </w:t>
      </w:r>
      <w:r>
        <w:rPr>
          <w:b w:val="1"/>
          <w:bCs w:val="1"/>
        </w:rPr>
        <w:t xml:space="preserve">ՀԹ</w:t>
      </w:r>
      <w:r>
        <w:rPr>
          <w:b w:val="1"/>
          <w:bCs w:val="1"/>
          <w:vertAlign w:val="subscript"/>
        </w:rPr>
        <w:t xml:space="preserve">Ա</w:t>
      </w:r>
      <w:r>
        <w:rPr>
          <w:b w:val="1"/>
          <w:bCs w:val="1"/>
        </w:rPr>
        <w:t xml:space="preserve"> x 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Դ</w:t>
      </w:r>
      <w:r>
        <w:rPr>
          <w:b w:val="1"/>
          <w:bCs w:val="1"/>
        </w:rPr>
        <w:t xml:space="preserve"> +</w:t>
      </w:r>
      <w:r>
        <w:rPr>
          <w:b w:val="1"/>
          <w:bCs w:val="1"/>
        </w:rPr>
        <w:t xml:space="preserve">Բ</w:t>
      </w:r>
      <w:r>
        <w:rPr>
          <w:b w:val="1"/>
          <w:bCs w:val="1"/>
          <w:vertAlign w:val="subscript"/>
        </w:rPr>
        <w:t xml:space="preserve">Ս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 x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Ս</w:t>
      </w:r>
      <w:r>
        <w:rPr/>
        <w:t xml:space="preserve">, որտեղ`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</w:t>
      </w:r>
      <w:r>
        <w:rPr>
          <w:b w:val="1"/>
          <w:bCs w:val="1"/>
          <w:vertAlign w:val="superscript"/>
        </w:rPr>
        <w:t xml:space="preserve">Ա</w:t>
      </w:r>
      <w:r>
        <w:rPr>
          <w:b w:val="1"/>
          <w:bCs w:val="1"/>
        </w:rPr>
        <w:t xml:space="preserve">-</w:t>
      </w:r>
      <w:r>
        <w:rPr/>
        <w:t xml:space="preserve">ն</w:t>
      </w:r>
      <w:r>
        <w:rPr>
          <w:b w:val="1"/>
          <w:bCs w:val="1"/>
        </w:rPr>
        <w:t xml:space="preserve"> </w:t>
      </w:r>
      <w:r>
        <w:rPr/>
        <w:t xml:space="preserve">- «ա» մասով հատկացվող դոտացիաների ընդհանուր գումարն է,</w:t>
      </w:r>
    </w:p>
    <w:p>
      <w:pPr/>
      <w:r>
        <w:rPr/>
        <w:t xml:space="preserve">ՀԹԱ-ն - «ա» մասով դոտացիա ստացող մինչև 3500 բնակիչ ունեցող համայնքների ընդհանուր թիվն է,</w:t>
      </w:r>
    </w:p>
    <w:p>
      <w:pPr/>
      <w:r>
        <w:rPr/>
        <w:t xml:space="preserve">ԱԴ-ն - «ա» մասով մինչև 3500 բնակիչ ունեցող մեկ համայնքին հատկացվող դոտացիայի գումարի չափն է,</w:t>
      </w:r>
    </w:p>
    <w:p>
      <w:pPr/>
      <w:r>
        <w:rPr/>
        <w:t xml:space="preserve">ԲՍԹ-ն-«ա» մասով դոտացիա ստացող սահմանամերձ բնակավայրերի ընդհանուր թիվն է,</w:t>
      </w:r>
    </w:p>
    <w:p>
      <w:pPr/>
      <w:r>
        <w:rPr/>
        <w:t xml:space="preserve">ԱՍ- ն-«ա» մասով սահմանամերձ մեկ համայնքին հատկացվող դոտացիայի գումարի չափն է,</w:t>
      </w:r>
    </w:p>
    <w:p>
      <w:pPr/>
      <w:r>
        <w:rPr/>
        <w:t xml:space="preserve">6. Համայնքի դոտացիա ստանալը «ա»մասով չի բացառում նույն համայնքի դոտացիա ստանալը նաև «բ»մասով: «ա» մասով հատկացվող դոտացիաների միջոցները ներառվում են այդ միջոցները ստացող համայնքների եկամտային կարողության գործակցի հաշվարկում` որպես լրացուցիչ եկամուտ: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9-րդ հոդվածի 2-րդ մասի 1-ին և 2-րդ կետերը և 3-րդ մասը շարադրել հետևյալ խմբագրությամբ․</w:t>
      </w:r>
    </w:p>
    <w:p>
      <w:pPr/>
      <w:r>
        <w:rPr/>
        <w:t xml:space="preserve">«2․ Համայնքի եկամտային կարողությունը տվյալ համայնքի բյուջեին օրենքով ամրագրված և սույն օրենքի շրջանակներում նախատեսված հետևյալ եկամտատեսակների հանրագումարն է.</w:t>
      </w:r>
    </w:p>
    <w:p>
      <w:pPr/>
      <w:r>
        <w:rPr/>
        <w:t xml:space="preserve">1) անշարժ գույքի հարկ,</w:t>
      </w:r>
    </w:p>
    <w:p>
      <w:pPr/>
      <w:r>
        <w:rPr/>
        <w:t xml:space="preserve">2) փոխադրամիջոցների գույքահարկ․</w:t>
      </w:r>
    </w:p>
    <w:p>
      <w:pPr/>
      <w:r>
        <w:rPr/>
        <w:t xml:space="preserve">Համայնքի անշարժ գույքի հարկի և փոխադրամիջոցների գույքահարկի հաշվարկային գումարի ցուցանիշները յուրաքանչյուր համայնքի գծով օրենսդրությամբ սահմանված կարգով հաշվարկված` հաշվարկվող տարվան նախորդող երկրորդ տարում այդ համայնքի բյուջե վճարման ենթակա անշարժ գույքի հարկի և փոխադրամիջոցների գույքահարկի տարեկան գումարներն են (առանց անշարժ գույքի հարկի և փոխադրամիջոցների գույքահարկի գծով՝  հաշվարկվող տարվան նախորդող երկրորդ տարվա տարեսկզբի (հունվարի 1-ի) դրությամբ առկա չմարված ապառքների, տույժերի և տուգանքների, ինչպես նաև հաշվարկվող տարվան նախորդող երկրորդ տարվա ընթացքում հաշվարկված տույժերի և տուգանքների գումարների), ավելացված Հայաստանի Հանրապետության օրենքներով և համայնքների ավագանիների ընդունած որոշումներով ֆիզիկական անձանց և կազմակերպություններին անշարժ գույքի հարկի և փոխադրամիջոցների գույքահարկի գծով արտոնությունների տրամադրման հետևանքով այդ հարկերի գծով համայնքների հաշվարկային տարվան նախորդող երկրորդ տարվա բյուջեներում եկամուտների կորուստների գումարները.».</w:t>
      </w:r>
    </w:p>
    <w:p>
      <w:pPr/>
      <w:r>
        <w:rPr/>
        <w:t xml:space="preserve"> </w:t>
      </w:r>
    </w:p>
    <w:p>
      <w:pPr/>
      <w:r>
        <w:rPr/>
        <w:t xml:space="preserve">«3. Համայնքի եկամտային կարողությունը հաշվարկվում է հետևյալ բանաձևով.</w:t>
      </w:r>
    </w:p>
    <w:p>
      <w:pPr/>
      <w:r>
        <w:rPr/>
        <w:t xml:space="preserve"> </w:t>
      </w:r>
    </w:p>
    <w:p>
      <w:pPr/>
      <w:r>
        <w:rPr/>
        <w:t xml:space="preserve">           ԵԿ</w:t>
      </w:r>
      <w:r>
        <w:rPr>
          <w:vertAlign w:val="subscript"/>
        </w:rPr>
        <w:t xml:space="preserve">i</w:t>
      </w:r>
      <w:r>
        <w:rPr/>
        <w:t xml:space="preserve"> =ԱԳՀ</w:t>
      </w:r>
      <w:r>
        <w:rPr>
          <w:vertAlign w:val="subscript"/>
        </w:rPr>
        <w:t xml:space="preserve">i</w:t>
      </w:r>
      <w:r>
        <w:rPr/>
        <w:t xml:space="preserve"> + ՓԳՀ</w:t>
      </w:r>
      <w:r>
        <w:rPr>
          <w:vertAlign w:val="subscript"/>
        </w:rPr>
        <w:t xml:space="preserve">i</w:t>
      </w:r>
      <w:r>
        <w:rPr/>
        <w:t xml:space="preserve">+ՄՀ</w:t>
      </w:r>
      <w:r>
        <w:rPr>
          <w:vertAlign w:val="subscript"/>
        </w:rPr>
        <w:t xml:space="preserve">i</w:t>
      </w:r>
      <w:r>
        <w:rPr/>
        <w:t xml:space="preserve"> + ՊՏ</w:t>
      </w:r>
      <w:r>
        <w:rPr>
          <w:vertAlign w:val="subscript"/>
        </w:rPr>
        <w:t xml:space="preserve">i</w:t>
      </w:r>
      <w:r>
        <w:rPr/>
        <w:t xml:space="preserve"> + Ա</w:t>
      </w:r>
      <w:r>
        <w:rPr>
          <w:vertAlign w:val="superscript"/>
        </w:rPr>
        <w:t xml:space="preserve">Դ</w:t>
      </w:r>
      <w:r>
        <w:rPr/>
        <w:t xml:space="preserve">, որտեղ`</w:t>
      </w:r>
    </w:p>
    <w:p>
      <w:pPr/>
      <w:r>
        <w:rPr/>
        <w:t xml:space="preserve">ԱԳՀ</w:t>
      </w:r>
      <w:r>
        <w:rPr>
          <w:vertAlign w:val="subscript"/>
        </w:rPr>
        <w:t xml:space="preserve">i</w:t>
      </w:r>
      <w:r>
        <w:rPr/>
        <w:t xml:space="preserve">-ն - i-րդ համայնքի անշարժ գույքի հարկի գումարն է,</w:t>
      </w:r>
    </w:p>
    <w:p>
      <w:pPr/>
      <w:r>
        <w:rPr/>
        <w:t xml:space="preserve">ՓԳՀ</w:t>
      </w:r>
      <w:r>
        <w:rPr>
          <w:vertAlign w:val="subscript"/>
        </w:rPr>
        <w:t xml:space="preserve">i</w:t>
      </w:r>
      <w:r>
        <w:rPr/>
        <w:t xml:space="preserve">-ն - i-րդ համայնքի փոխադրամիջոցների գույքահարկի գումարն է,</w:t>
      </w:r>
    </w:p>
    <w:p>
      <w:pPr/>
      <w:r>
        <w:rPr/>
        <w:t xml:space="preserve">ՄՀ</w:t>
      </w:r>
      <w:r>
        <w:rPr>
          <w:vertAlign w:val="subscript"/>
        </w:rPr>
        <w:t xml:space="preserve">i</w:t>
      </w:r>
      <w:r>
        <w:rPr/>
        <w:t xml:space="preserve">-ն - i-րդ համայնքի մասհանվող հարկերն են,</w:t>
      </w:r>
    </w:p>
    <w:p>
      <w:pPr/>
      <w:r>
        <w:rPr/>
        <w:t xml:space="preserve">ՊՏ</w:t>
      </w:r>
      <w:r>
        <w:rPr>
          <w:vertAlign w:val="subscript"/>
        </w:rPr>
        <w:t xml:space="preserve">i</w:t>
      </w:r>
      <w:r>
        <w:rPr/>
        <w:t xml:space="preserve">-ն - i-րդ համայնքի պետական տուրքերն են,</w:t>
      </w:r>
    </w:p>
    <w:p>
      <w:pPr/>
      <w:r>
        <w:rPr/>
        <w:t xml:space="preserve">Ա</w:t>
      </w:r>
      <w:r>
        <w:rPr>
          <w:vertAlign w:val="superscript"/>
        </w:rPr>
        <w:t xml:space="preserve">Դ</w:t>
      </w:r>
      <w:r>
        <w:rPr/>
        <w:t xml:space="preserve">-ն - «ա» մասով մեկ համայնքին հատկացվող դոտացիայի գումարի չափն է:»։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10-րդ հոդվածի 4-րդ մասի 3-րդ և 4-րդ կետերը շարադրել հետևյալ խմբագրությամբ․</w:t>
      </w:r>
    </w:p>
    <w:p>
      <w:pPr/>
      <w:r>
        <w:rPr/>
        <w:t xml:space="preserve">  «3). համայնքի բարձրադիրության ծախսային գործոն ` Կ</w:t>
      </w:r>
      <w:r>
        <w:rPr>
          <w:vertAlign w:val="superscript"/>
        </w:rPr>
        <w:t xml:space="preserve">ԲԳ</w:t>
      </w:r>
      <w:r>
        <w:rPr/>
        <w:t xml:space="preserve"> - 20 տոկոս.</w:t>
      </w:r>
    </w:p>
    <w:p>
      <w:pPr/>
      <w:r>
        <w:rPr/>
        <w:t xml:space="preserve">   4)․ համայնքի կազմում ընդգրկված բնակավայրերի քանակի ծախսային գործոն` Կ</w:t>
      </w:r>
      <w:r>
        <w:rPr>
          <w:vertAlign w:val="superscript"/>
        </w:rPr>
        <w:t xml:space="preserve">ԲՔԳ</w:t>
      </w:r>
      <w:r>
        <w:rPr/>
        <w:t xml:space="preserve">- 20 տոկոս.».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11-րդ հոդվածի 2-րդ մասում՝ «0-3500 բնակիչ», «3501-5000 բնակիչ», «5001-20000 բնակիչ», «20001-150000 բնակիչ» և «150001-ից ավելի բնակիչ»  արտահայտությունները համապատասխանաբար փոխարինել «մինչև 3500 բնակիչ»,  «3501-20000 բնակիչ», «20001-50000 բնակիչ», «50001-200000 բնակիչ» և «200001-ից ավելի բնակիչ» արտահայտություններով։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12-րդ հոդվածի 2-րդ մասի 1-ին պարբերությունը շարադրել հետևյալ խմբագրությամբ․</w:t>
      </w:r>
    </w:p>
    <w:p>
      <w:pPr/>
      <w:r>
        <w:rPr/>
        <w:t xml:space="preserve"> </w:t>
      </w:r>
    </w:p>
    <w:p>
      <w:pPr/>
      <w:r>
        <w:rPr/>
        <w:t xml:space="preserve">«ՏՄԳi = 1+(0,3 x Հ</w:t>
      </w:r>
      <w:r>
        <w:rPr>
          <w:vertAlign w:val="subscript"/>
        </w:rPr>
        <w:t xml:space="preserve">i</w:t>
      </w:r>
      <w:r>
        <w:rPr>
          <w:vertAlign w:val="superscript"/>
        </w:rPr>
        <w:t xml:space="preserve">Մայր</w:t>
      </w:r>
      <w:r>
        <w:rPr/>
        <w:t xml:space="preserve">+0,6xՀ</w:t>
      </w:r>
      <w:r>
        <w:rPr>
          <w:vertAlign w:val="subscript"/>
        </w:rPr>
        <w:t xml:space="preserve">i</w:t>
      </w:r>
      <w:r>
        <w:rPr>
          <w:vertAlign w:val="superscript"/>
        </w:rPr>
        <w:t xml:space="preserve">Մարզ</w:t>
      </w:r>
      <w:r>
        <w:rPr>
          <w:vertAlign w:val="superscript"/>
        </w:rPr>
        <w:t xml:space="preserve"> </w:t>
      </w:r>
      <w:r>
        <w:rPr/>
        <w:t xml:space="preserve">+0,1xՀ</w:t>
      </w:r>
      <w:r>
        <w:rPr>
          <w:vertAlign w:val="subscript"/>
        </w:rPr>
        <w:t xml:space="preserve">i</w:t>
      </w:r>
      <w:r>
        <w:rPr>
          <w:vertAlign w:val="superscript"/>
        </w:rPr>
        <w:t xml:space="preserve">Շրջ</w:t>
      </w:r>
      <w:r>
        <w:rPr/>
        <w:t xml:space="preserve">) / (0,3x Հ</w:t>
      </w:r>
      <w:r>
        <w:rPr>
          <w:vertAlign w:val="subscript"/>
        </w:rPr>
        <w:t xml:space="preserve">միջ</w:t>
      </w:r>
      <w:r>
        <w:rPr>
          <w:vertAlign w:val="superscript"/>
        </w:rPr>
        <w:t xml:space="preserve">Մայր</w:t>
      </w:r>
      <w:r>
        <w:rPr/>
        <w:t xml:space="preserve"> + 0,6xՀ</w:t>
      </w:r>
      <w:r>
        <w:rPr>
          <w:vertAlign w:val="subscript"/>
        </w:rPr>
        <w:t xml:space="preserve">միջ</w:t>
      </w:r>
      <w:r>
        <w:rPr>
          <w:vertAlign w:val="superscript"/>
        </w:rPr>
        <w:t xml:space="preserve">Մարզ</w:t>
      </w:r>
      <w:r>
        <w:rPr/>
        <w:t xml:space="preserve"> + 0,1xՀ</w:t>
      </w:r>
      <w:r>
        <w:rPr>
          <w:vertAlign w:val="subscript"/>
        </w:rPr>
        <w:t xml:space="preserve">միջ</w:t>
      </w:r>
      <w:r>
        <w:rPr>
          <w:vertAlign w:val="superscript"/>
        </w:rPr>
        <w:t xml:space="preserve">Շրջ</w:t>
      </w:r>
      <w:r>
        <w:rPr/>
        <w:t xml:space="preserve">) , որտեղ՝․».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Օրենքի 13-րդ հոդվածի 2-րդ մասում՝ «1,1» և «1,25» թվերը համապատասխանաբար փոխարինել «1,2» և «1,4» թվերով»:  </w:t>
      </w:r>
    </w:p>
    <w:p>
      <w:pPr/>
      <w:r>
        <w:rPr/>
        <w:t xml:space="preserve">       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Օրենքի 14-րդ հոդվածի 2-րդ մասի 1-ին պարբերությունը շարադրել հետևյալ խմբագրությամբ․</w:t>
      </w:r>
    </w:p>
    <w:p>
      <w:pPr/>
      <w:r>
        <w:rPr/>
        <w:t xml:space="preserve">                    «ԲՔԳi = 1 + 0,15(ԲԹ</w:t>
      </w:r>
      <w:r>
        <w:rPr>
          <w:vertAlign w:val="subscript"/>
        </w:rPr>
        <w:t xml:space="preserve">i</w:t>
      </w:r>
      <w:r>
        <w:rPr/>
        <w:t xml:space="preserve"> - 1) , որտեղ`.».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17-րդ հոդվածի 1-ին մասում՝ «Հայաստանի Հանրապետության ոստիկանությունը» և «Հայաստանի Հանրապետության մարզպետարանները» բառերը համապատասխանաբար փոխարինել  «Հայաստանի Հանրապետության ներքին գործերի նախարարությունը» և «Հայաստանի Հանրապետության մարզպետների աշխատակազմերը» բառերով։</w:t>
      </w:r>
    </w:p>
    <w:p>
      <w:pPr/>
      <w:r>
        <w:rPr>
          <w:b w:val="1"/>
          <w:bCs w:val="1"/>
        </w:rPr>
        <w:t xml:space="preserve">Հոդված 10. </w:t>
      </w:r>
      <w:r>
        <w:rPr/>
        <w:t xml:space="preserve">Օրենքի 18-րդ հոդվածի 2-րդ մասի 1-ին, 2-րդ կետերում և 3-րդ մասում՝ «փոխհատուցման գումարի» բառերից հետո համապատասխանաբար լրացնել «բացառությամբ 2023 թվականի» բառերը, իսկ 2-րդ մասի 5-րդ կետն ուժը կորցրած ճանաչել։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Սույն օրենքն ուժի մեջ է մտնում պաշտոնական հրապարակման օրվան հաջորդող տասներորդ օրը և տարածվում սույն օրենքի ուժի մեջ մտնելուց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2026-04-03T01:22:40+04:00</dcterms:created>
  <dcterms:modified xsi:type="dcterms:W3CDTF">2026-04-03T01:22:40+04:00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