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ՀԱՅԱUՏԱՆԻ ՀԱՆՐԱՊԵՏՈՒԹՅԱՆ ԿԱՌԱՎԱՐՈՒԹՅԱՆ 2006 ԹՎԱԿԱՆԻ ՆՈՅԵՄԲԵՐԻ 2-Ի  N 1911-Ն ՈՐՈՇՄԱՆ ՄԵՋ ՓՈՓՈԽՈՒԹՅՈՒՆՆԵՐ ԿԱՏԱՐԵԼՈՒ ՄԱUԻՆ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               </w:t>
      </w:r>
    </w:p>
    <w:p>
      <w:pPr>
        <w:jc w:val="center"/>
      </w:pPr>
      <w:r>
        <w:rPr/>
        <w:t xml:space="preserve">ՀԱՅԱUՏԱՆԻ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------     2023       N     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ՀԱՅԱUՏԱՆԻ ՀԱՆՐԱՊԵՏՈՒԹՅԱՆ ԿԱՌԱՎԱՐՈՒԹՅԱՆ 2006 ԹՎԱԿԱՆԻ ՆՈՅԵՄԲԵՐԻ 2-Ի N 1911-Ն ՈՐՈՇՄԱՆ ՄԵՋ ՓՈՓՈԽՈՒԹՅՈՒՆՆԵՐ ԿԱՏԱՐԵԼՈՒ ՄԱUԻՆ</w:t>
      </w:r>
    </w:p>
    <w:p>
      <w:pPr/>
      <w:r>
        <w:rPr/>
        <w:t xml:space="preserve"> </w:t>
      </w:r>
    </w:p>
    <w:p>
      <w:pPr/>
      <w:r>
        <w:rPr/>
        <w:t xml:space="preserve">Հիմք ընդունելով ՀՀ քաղաքացիական օրենսգրքի 63–րդ հոդվածի 1–ին մասը, «Բաժնետիրական ընկերությունների մասին» օրենքի 12-րդ հոդված 5-րդ մասը, 18-րդ, 20-րդ, 24-րդ և 67-րդ հոդվածները, «Նորմատիվ իրավական ակտերի մասին» օրենքի 34-րդ հոդվածը՝ Հայաuտանի Հանրապետության կառավարությունը ո ր ո շ ո ւ մ է.</w:t>
      </w:r>
    </w:p>
    <w:p>
      <w:pPr/>
      <w:r>
        <w:rPr/>
        <w:t xml:space="preserve">1. Հայաuտանի Հանրապետության կառավարության 2006 թվականի նոյեմբերի 2-ի «Հայաuտանի Հանրապետության մարզերի առողջապահության համակարգերի oպտիմալացման ծրագրերը հաuտատելու մաuին» N 1911-Ն որոշման (այսուհետ` որոշում) մեջ կատարել հետևյալ փոփոխությունները.</w:t>
      </w:r>
    </w:p>
    <w:p>
      <w:pPr/>
      <w:r>
        <w:rPr/>
        <w:t xml:space="preserve">1) որոշման N 9 հավելվածի` Հայաստանի Հանրապետության Շիրակի մարզի առողջապահության համակարգի օպտիմալացման ծրագրի «I. Գյումրի քաղաք» բաժնում ավելացնել  3-րդ կետի 1-ին ենթակետ՝ հետևյալ բովանդակությամբ․</w:t>
      </w:r>
    </w:p>
    <w:p>
      <w:pPr/>
      <w:r>
        <w:rPr/>
        <w:t xml:space="preserve">3.1 «Վերակազմակերպել  «Գյումրու մոր և մանկան ավստրիական հիվանդանոց» փակ բաժնետիրական ընկերությունը՝ այն միացնելով «Գյումրու բժշկական կենտրոն» փակ բաժնետիրական ընկերությանը։ Վերակազմակերպման արդյունքում՝ ավելացնել «Գյումրու բժշկական կենտրոն» փակ բաժնետիրական ընկերության կանոնադրական կապիտալի չափը: Վերակազմակերպումից հետո «Գյումրու բժշկական կենտրոն» փակ բաժնետիրական ընկերության մանկական սոմատիկ և մանկական վիրաբուժական բաժանմունքները՝  յուրաքանչյուրը 35 մահճակալ հզորությամբ, կշարունակեն գործել «Գյումրու բժշկական կենտրոն» փակ բաժնետիրական ընկերությանը միացված նախկին «Գյումրու մոր և մանկան ավստրիական հիվանդանոց» փակ բաժնետիրական ընկերության շենքում, իսկ մանկաբարձագինեկոլոգիական բաժանմունքը՝ 50 մահճակալ հզորությամբ, կգործի «Գյումրու բժշկական կենտրոն» փակ բաժնետիրական ընկերության մանկաբարձագինեկոլոգիական բաժանմունքի շենքում».</w:t>
      </w:r>
    </w:p>
    <w:p>
      <w:pPr/>
      <w:r>
        <w:rPr/>
        <w:t xml:space="preserve">բ.       8-րդ կետում ներկայացված աղյուսակը շարադրել հետևյալ խմբագրությամբ․</w:t>
      </w:r>
    </w:p>
    <w:p>
      <w:pPr/>
      <w:r>
        <w:rPr/>
        <w:t xml:space="preserve">«</w:t>
      </w:r>
    </w:p>
    <w:tbl>
      <w:tblGrid>
        <w:gridCol w:w="2415" w:type="dxa"/>
        <w:gridCol w:w="4920" w:type="dxa"/>
        <w:gridCol w:w="2835" w:type="dxa"/>
      </w:tblGrid>
      <w:tblPr>
        <w:tblW w:w="10170" w:type="dxa"/>
        <w:tblLayout w:type="autofit"/>
      </w:tblPr>
      <w:tr>
        <w:trPr/>
        <w:tc>
          <w:tcPr>
            <w:tcW w:w="2415" w:type="dxa"/>
            <w:noWrap/>
          </w:tcPr>
          <w:p>
            <w:pPr/>
            <w:r>
              <w:rPr/>
              <w:t xml:space="preserve">Կազմակերպության անվանումը</w:t>
            </w:r>
          </w:p>
        </w:tc>
        <w:tc>
          <w:tcPr>
            <w:tcW w:w="4920" w:type="dxa"/>
            <w:noWrap/>
          </w:tcPr>
          <w:p>
            <w:pPr/>
            <w:r>
              <w:rPr/>
              <w:t xml:space="preserve">Բաժանմունքները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835" w:type="dxa"/>
            <w:noWrap/>
          </w:tcPr>
          <w:p>
            <w:pPr/>
            <w:r>
              <w:rPr/>
              <w:t xml:space="preserve">Մահճակալների թիվը</w:t>
            </w:r>
          </w:p>
        </w:tc>
      </w:tr>
      <w:tr>
        <w:trPr/>
        <w:tc>
          <w:tcPr>
            <w:tcW w:w="2415" w:type="dxa"/>
            <w:noWrap/>
          </w:tcPr>
          <w:p>
            <w:pPr/>
            <w:r>
              <w:rPr/>
              <w:t xml:space="preserve">Գյումրու բժշկական կենտրոն</w:t>
            </w:r>
          </w:p>
        </w:tc>
        <w:tc>
          <w:tcPr>
            <w:tcW w:w="4920" w:type="dxa"/>
            <w:noWrap/>
          </w:tcPr>
          <w:p>
            <w:pPr/>
            <w:r>
              <w:rPr/>
              <w:t xml:space="preserve">թերապևտիկ</w:t>
            </w:r>
          </w:p>
        </w:tc>
        <w:tc>
          <w:tcPr>
            <w:tcW w:w="2835" w:type="dxa"/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tcW w:w="4920" w:type="dxa"/>
            <w:noWrap/>
          </w:tcPr>
          <w:p>
            <w:pPr/>
            <w:r>
              <w:rPr/>
              <w:t xml:space="preserve">սրտաբանական</w:t>
            </w:r>
          </w:p>
        </w:tc>
        <w:tc>
          <w:tcPr>
            <w:tcW w:w="2835" w:type="dxa"/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tcW w:w="4920" w:type="dxa"/>
            <w:noWrap/>
          </w:tcPr>
          <w:p>
            <w:pPr/>
            <w:r>
              <w:rPr/>
              <w:t xml:space="preserve">Վիրաբուժական (ներառյալ՝ ընդհանուր վիրաբուժական` անոթային, ակնաբուժական քիթ-կոկորդ-ականջաբանական, նեյրովիրաբուժական, ուռոլոգիական, վնասվածքաբանական)</w:t>
            </w:r>
          </w:p>
        </w:tc>
        <w:tc>
          <w:tcPr>
            <w:tcW w:w="2835" w:type="dxa"/>
            <w:noWrap/>
          </w:tcPr>
          <w:p>
            <w:pPr/>
            <w:r>
              <w:rPr/>
              <w:t xml:space="preserve">100</w:t>
            </w:r>
          </w:p>
        </w:tc>
      </w:tr>
      <w:tr>
        <w:trPr/>
        <w:tc>
          <w:tcPr>
            <w:tcW w:w="4920" w:type="dxa"/>
            <w:noWrap/>
          </w:tcPr>
          <w:p>
            <w:pPr/>
            <w:r>
              <w:rPr/>
              <w:t xml:space="preserve">վերակենդանացման և հետվիրահատական ինտենսիվ բուժման</w:t>
            </w:r>
          </w:p>
        </w:tc>
        <w:tc>
          <w:tcPr>
            <w:tcW w:w="2835" w:type="dxa"/>
            <w:noWrap/>
          </w:tcPr>
          <w:p>
            <w:pPr/>
            <w:r>
              <w:rPr/>
              <w:t xml:space="preserve">(8 թերապևտիկ, 6 վիրաբուժական)</w:t>
            </w:r>
          </w:p>
        </w:tc>
      </w:tr>
      <w:tr>
        <w:trPr/>
        <w:tc>
          <w:tcPr>
            <w:tcW w:w="4920" w:type="dxa"/>
            <w:noWrap/>
          </w:tcPr>
          <w:p>
            <w:pPr/>
            <w:r>
              <w:rPr/>
              <w:t xml:space="preserve">մանկաբարձագինեկոլոգիական բաժանմունք</w:t>
            </w:r>
          </w:p>
        </w:tc>
        <w:tc>
          <w:tcPr>
            <w:tcW w:w="2835" w:type="dxa"/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tcW w:w="4920" w:type="dxa"/>
            <w:noWrap/>
          </w:tcPr>
          <w:p>
            <w:pPr/>
            <w:r>
              <w:rPr/>
              <w:t xml:space="preserve">ուռուցքաբանական</w:t>
            </w:r>
          </w:p>
        </w:tc>
        <w:tc>
          <w:tcPr>
            <w:tcW w:w="2835" w:type="dxa"/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tcW w:w="4920" w:type="dxa"/>
            <w:noWrap/>
          </w:tcPr>
          <w:p>
            <w:pPr/>
            <w:r>
              <w:rPr/>
              <w:t xml:space="preserve">ինֆեկցիոն</w:t>
            </w:r>
          </w:p>
        </w:tc>
        <w:tc>
          <w:tcPr>
            <w:tcW w:w="2835" w:type="dxa"/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tcW w:w="4920" w:type="dxa"/>
            <w:noWrap/>
          </w:tcPr>
          <w:p>
            <w:pPr/>
            <w:r>
              <w:rPr/>
              <w:t xml:space="preserve">մանկական սոմատիկ</w:t>
            </w:r>
          </w:p>
        </w:tc>
        <w:tc>
          <w:tcPr>
            <w:tcW w:w="2835" w:type="dxa"/>
            <w:noWrap/>
          </w:tcPr>
          <w:p>
            <w:pPr/>
            <w:r>
              <w:rPr/>
              <w:t xml:space="preserve">35</w:t>
            </w:r>
          </w:p>
        </w:tc>
      </w:tr>
      <w:tr>
        <w:trPr/>
        <w:tc>
          <w:tcPr>
            <w:tcW w:w="4920" w:type="dxa"/>
            <w:noWrap/>
          </w:tcPr>
          <w:p>
            <w:pPr/>
            <w:r>
              <w:rPr/>
              <w:t xml:space="preserve">մանկական վիրաբուժական</w:t>
            </w:r>
          </w:p>
        </w:tc>
        <w:tc>
          <w:tcPr>
            <w:tcW w:w="2835" w:type="dxa"/>
            <w:noWrap/>
          </w:tcPr>
          <w:p>
            <w:pPr/>
            <w:r>
              <w:rPr/>
              <w:t xml:space="preserve">35</w:t>
            </w:r>
          </w:p>
        </w:tc>
      </w:tr>
      <w:tr>
        <w:trPr/>
        <w:tc>
          <w:tcPr>
            <w:tcW w:w="4920" w:type="dxa"/>
            <w:noWrap/>
          </w:tcPr>
          <w:p>
            <w:pPr/>
            <w:r>
              <w:rPr/>
              <w:t xml:space="preserve">վերակենդանացման և հետվիրահատական ինտենսիվ բուժման</w:t>
            </w:r>
          </w:p>
        </w:tc>
        <w:tc>
          <w:tcPr>
            <w:tcW w:w="2835" w:type="dxa"/>
            <w:noWrap/>
          </w:tcPr>
          <w:p>
            <w:pPr/>
            <w:r>
              <w:rPr/>
              <w:t xml:space="preserve">( 6 մանկական թերապևտիկ և 4 մանկական վիրաբուժական)</w:t>
            </w:r>
          </w:p>
        </w:tc>
      </w:tr>
      <w:tr>
        <w:trPr/>
        <w:tc>
          <w:tcPr>
            <w:tcW w:w="24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920" w:type="dxa"/>
            <w:noWrap/>
          </w:tcPr>
          <w:p>
            <w:pPr/>
            <w:r>
              <w:rPr>
                <w:b w:val="1"/>
                <w:bCs w:val="1"/>
              </w:rPr>
              <w:t xml:space="preserve">ԸՆԴԱՄԵՆԸ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372</w:t>
            </w:r>
          </w:p>
        </w:tc>
      </w:tr>
      <w:tr>
        <w:trPr/>
        <w:tc>
          <w:tcPr>
            <w:tcW w:w="2415" w:type="dxa"/>
            <w:noWrap/>
          </w:tcPr>
          <w:p>
            <w:pPr/>
            <w:r>
              <w:rPr/>
              <w:t xml:space="preserve">Հոգեկան առողջության կենտրոն</w:t>
            </w:r>
          </w:p>
        </w:tc>
        <w:tc>
          <w:tcPr>
            <w:tcW w:w="4920" w:type="dxa"/>
            <w:noWrap/>
          </w:tcPr>
          <w:p>
            <w:pPr/>
            <w:r>
              <w:rPr/>
              <w:t xml:space="preserve">հոգեբուժական</w:t>
            </w:r>
          </w:p>
        </w:tc>
        <w:tc>
          <w:tcPr>
            <w:tcW w:w="2835" w:type="dxa"/>
            <w:noWrap/>
          </w:tcPr>
          <w:p>
            <w:pPr/>
            <w:r>
              <w:rPr/>
              <w:t xml:space="preserve">65</w:t>
            </w:r>
          </w:p>
        </w:tc>
      </w:tr>
      <w:tr>
        <w:trPr/>
        <w:tc>
          <w:tcPr>
            <w:tcW w:w="2415" w:type="dxa"/>
            <w:noWrap/>
          </w:tcPr>
          <w:p>
            <w:pPr/>
            <w:r>
              <w:rPr>
                <w:b w:val="1"/>
                <w:bCs w:val="1"/>
              </w:rPr>
              <w:t xml:space="preserve">Ընդամենը` Գյումրի քաղաքում</w:t>
            </w:r>
          </w:p>
        </w:tc>
        <w:tc>
          <w:tcPr>
            <w:tcW w:w="49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437</w:t>
            </w:r>
          </w:p>
        </w:tc>
      </w:tr>
    </w:tbl>
    <w:p>
      <w:pPr/>
      <w:r>
        <w:rPr/>
        <w:t xml:space="preserve">»։</w:t>
      </w:r>
    </w:p>
    <w:p>
      <w:pPr/>
      <w:r>
        <w:rPr/>
        <w:t xml:space="preserve">2․ Սահմանել, որ վերակազմակերպման հետ կապված ծախսերը կատարվելու են «Գյումրու բժշկական կենտրոն» փակ բաժնետիրական ընկերության միջոցների հաշվին:</w:t>
      </w:r>
    </w:p>
    <w:p>
      <w:pPr/>
      <w:r>
        <w:rPr/>
        <w:t xml:space="preserve">3․ Հայաuտանի Հանրապետության Շիրակի մարզպետին`</w:t>
      </w:r>
    </w:p>
    <w:p>
      <w:pPr/>
      <w:r>
        <w:rPr/>
        <w:t xml:space="preserve">1) նախագծի ընդունումից հետո եռամսյա ժամկետում ավարտել սույն որոշմամբ նախատեսված՝ Հայաստանի Հանրապետության Շիրակի մարզի առողջապահական համակարգի օպտիմալացման ծրագրից բխող` սույն որոշման 1-ին կետի 1-ին ենթակետով նախատեսված աշխատանքների իրականացումը՝ Հայաստանի Հանրապետության քաղաքացիական օրենսգրքի, «Իրավաբանական անձանց պետական գրանցման, իրավաբանական անձանց առանձնացված ստորաբաժանումների, հիմնարկների և անհատ ձեռնարկատերերի պետական հաշվառման մասին» Հայաստանի Հանրապետության օրենքի և «Բաժնետիրական ընկերությունների մասին» Հայաստանի Հանրապետության օրենքի պահանջներին համապատասխան,</w:t>
      </w:r>
    </w:p>
    <w:p>
      <w:pPr/>
      <w:r>
        <w:rPr/>
        <w:t xml:space="preserve">2) 1-ին կետի 1-ին ենթակետով նախատեսված աշխատանքների ավարտից հետո մեկամսյա ժամկետում Հայաստանի Հանրապետության վարչապետի աշխատակազմ և Հայաստանի Հանրապետության առողջապահության նախարարություն ներկայացնել հաշվետվություններ կատարված աշխատանքների վերաբերյալ:</w:t>
      </w:r>
    </w:p>
    <w:p>
      <w:pPr/>
      <w:r>
        <w:rPr/>
        <w:t xml:space="preserve">4․ Սույն որոշումն ուժի մեջ է մտնում պաշտոնական հրապարակման օրվան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                     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2026-04-01T20:52:55+04:00</dcterms:created>
  <dcterms:modified xsi:type="dcterms:W3CDTF">2026-04-01T20:52:55+04:00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