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«ԸՆԴԵՐՔԻ ԵՐԿՐԱԲԱՆԱԿԱՆ ՈՒՍՈՒՄՆԱՍԻՐՈՒԹՅԱՆ ՀԱՄԱՁԱՅՆՈՒԹՅՈՒՆ ՏՐԱՄԱԴՐԵԼՈՒ ԿԱՐԳԸ ՍԱՀՄԱՆԵԼՈՒ ԵՎ ՀԱՅԱՍՏԱՆԻ ՀԱՆՐԱՊԵՏՈՒԹՅԱՆ ԿԱՌԱՎԱՐՈՒԹՅԱՆ 2004 ԹՎԱԿԱՆԻ ՕԳՈՍՏՈՍԻ 19-ի N 1192-Ն ՈՐՈՇՈՒՄԸ ՈՒԺԸ ԿՈՐՑՐԱԾ ՃԱՆԱՉԵԼՈՒ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_________2023 թվականի N _______Ն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ԸՆԴԵՐՔԻ</w:t>
      </w:r>
      <w:r>
        <w:rPr/>
        <w:t xml:space="preserve"> </w:t>
      </w:r>
      <w:r>
        <w:rPr>
          <w:b w:val="1"/>
          <w:bCs w:val="1"/>
        </w:rPr>
        <w:t xml:space="preserve">ԵՐԿՐԱԲԱՆԱԿԱՆ</w:t>
      </w:r>
      <w:r>
        <w:rPr/>
        <w:t xml:space="preserve"> </w:t>
      </w:r>
      <w:r>
        <w:rPr>
          <w:b w:val="1"/>
          <w:bCs w:val="1"/>
        </w:rPr>
        <w:t xml:space="preserve">ՈՒՍՈՒՄՆԱՍԻՐՈՒԹՅԱՆ</w:t>
      </w:r>
      <w:r>
        <w:rPr/>
        <w:t xml:space="preserve"> </w:t>
      </w:r>
      <w:r>
        <w:rPr>
          <w:b w:val="1"/>
          <w:bCs w:val="1"/>
        </w:rPr>
        <w:t xml:space="preserve">ՀԱՄԱՁԱՅՆՈՒԹՅՈՒՆ</w:t>
      </w:r>
      <w:r>
        <w:rPr/>
        <w:t xml:space="preserve"> </w:t>
      </w:r>
      <w:r>
        <w:rPr>
          <w:b w:val="1"/>
          <w:bCs w:val="1"/>
        </w:rPr>
        <w:t xml:space="preserve">ՏՐԱՄԱԴՐԵԼՈՒ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ՕԳՈՍՏՈՍԻ</w:t>
      </w:r>
      <w:r>
        <w:rPr>
          <w:b w:val="1"/>
          <w:bCs w:val="1"/>
        </w:rPr>
        <w:t xml:space="preserve"> 19-ի N 1192-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ՈՐՈՇՈՒՄԸ</w:t>
      </w:r>
      <w:r>
        <w:rPr/>
        <w:t xml:space="preserve"> </w:t>
      </w:r>
      <w:r>
        <w:rPr>
          <w:b w:val="1"/>
          <w:bCs w:val="1"/>
        </w:rPr>
        <w:t xml:space="preserve">ՈՒԺԸ</w:t>
      </w:r>
      <w:r>
        <w:rPr/>
        <w:t xml:space="preserve"> </w:t>
      </w:r>
      <w:r>
        <w:rPr>
          <w:b w:val="1"/>
          <w:bCs w:val="1"/>
        </w:rPr>
        <w:t xml:space="preserve">ԿՈՐՑՐԱԾ</w:t>
      </w:r>
      <w:r>
        <w:rPr/>
        <w:t xml:space="preserve"> </w:t>
      </w:r>
      <w:r>
        <w:rPr>
          <w:b w:val="1"/>
          <w:bCs w:val="1"/>
        </w:rPr>
        <w:t xml:space="preserve">ՃԱՆԱՉԵԼՈՒ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Հայաստանի Հանրապետության ընդերքի մասին օրենսգրքի 32-րդ հոդվածի 3-րդ և 5-րդ մասերը և «Նորմատիվ իրավական ակտերի մասին» օրենքի 37-րդ հոդվածի 1-ին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2004 թվականի օգոստոսի 19-ի «Երկրաբանական ուսումնասիրության նպատակով ընդերքն օգտագործման տրամադրելու կարգը հաստատելու մասին» N 1192-Ն որոշումը:</w:t>
      </w:r>
    </w:p>
    <w:p>
      <w:pPr>
        <w:numPr>
          <w:ilvl w:val="0"/>
          <w:numId w:val="2"/>
        </w:numPr>
      </w:pPr>
      <w:r>
        <w:rPr/>
        <w:t xml:space="preserve">Սահմանել ընդերքի երկրաբանական ուսումնասիրության համաձայնություն տրամադրելու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                 </w:t>
      </w:r>
    </w:p>
    <w:p>
      <w:pPr/>
      <w:r>
        <w:rPr>
          <w:b w:val="1"/>
          <w:bCs w:val="1"/>
        </w:rPr>
        <w:t xml:space="preserve">           Հայաստանի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                           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                                Ն.Փաշինյան</w:t>
      </w:r>
    </w:p>
    <w:p>
      <w:pPr/>
      <w:r>
        <w:rPr>
          <w:b w:val="1"/>
          <w:bCs w:val="1"/>
        </w:rPr>
        <w:t xml:space="preserve">                    </w:t>
      </w:r>
    </w:p>
    <w:p>
      <w:pPr/>
      <w:r>
        <w:rPr>
          <w:b w:val="1"/>
          <w:bCs w:val="1"/>
        </w:rPr>
        <w:t xml:space="preserve">                       </w:t>
      </w:r>
      <w:r>
        <w:rPr/>
        <w:t xml:space="preserve"> 2023թ. «___»</w:t>
      </w:r>
    </w:p>
    <w:p>
      <w:pPr/>
      <w:r>
        <w:rPr/>
        <w:t xml:space="preserve">                          Երևան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  <w:br/>
      <w:r>
        <w:rPr>
          <w:b w:val="1"/>
          <w:bCs w:val="1"/>
        </w:rPr>
        <w:t xml:space="preserve">ՀՀ կառավարության 2023 թվականի</w:t>
      </w:r>
      <w:br/>
      <w:r>
        <w:rPr>
          <w:b w:val="1"/>
          <w:bCs w:val="1"/>
        </w:rPr>
        <w:t xml:space="preserve">«____ » </w:t>
      </w:r>
      <w:r>
        <w:rPr>
          <w:b w:val="1"/>
          <w:bCs w:val="1"/>
        </w:rPr>
        <w:t xml:space="preserve">-ի N -----Ն որոշման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ԸՆԴԵՐՔԻ</w:t>
      </w:r>
      <w:r>
        <w:rPr/>
        <w:t xml:space="preserve"> </w:t>
      </w:r>
      <w:r>
        <w:rPr>
          <w:b w:val="1"/>
          <w:bCs w:val="1"/>
        </w:rPr>
        <w:t xml:space="preserve">ԵՐԿՐԱԲԱՆԱԿԱՆ</w:t>
      </w:r>
      <w:r>
        <w:rPr/>
        <w:t xml:space="preserve"> </w:t>
      </w:r>
      <w:r>
        <w:rPr>
          <w:b w:val="1"/>
          <w:bCs w:val="1"/>
        </w:rPr>
        <w:t xml:space="preserve">ՈՒՍՈՒՄՆԱՍԻՐՈՒԹՅԱՆ</w:t>
      </w:r>
      <w:r>
        <w:rPr/>
        <w:t xml:space="preserve"> </w:t>
      </w:r>
      <w:r>
        <w:rPr>
          <w:b w:val="1"/>
          <w:bCs w:val="1"/>
        </w:rPr>
        <w:t xml:space="preserve">ՀԱՄԱՁԱՅՆՈՒԹՅՈՒՆ</w:t>
      </w:r>
      <w:r>
        <w:rPr/>
        <w:t xml:space="preserve"> </w:t>
      </w:r>
      <w:r>
        <w:rPr>
          <w:b w:val="1"/>
          <w:bCs w:val="1"/>
        </w:rPr>
        <w:t xml:space="preserve">ՏՐԱՄԱԴՐԵԼՈՒ</w:t>
      </w:r>
    </w:p>
    <w:p>
      <w:pPr>
        <w:numPr>
          <w:ilvl w:val="0"/>
          <w:numId w:val="3"/>
        </w:numPr>
      </w:pPr>
      <w:r>
        <w:rPr/>
        <w:t xml:space="preserve">Սույն կարգով սահմանվում է ընդերքի երկրաբանական ուսումնասիրության աշխատանքների իրականացման նպատակով Հայաստանի Հանրապետության տարածքային կառավարման և ենթակառուցվածքների նախարարության կողմից (այսուհետ՝ լիազոր մարմնի) համաձայնություն տալու գործընթացը:</w:t>
      </w:r>
    </w:p>
    <w:p>
      <w:pPr>
        <w:numPr>
          <w:ilvl w:val="0"/>
          <w:numId w:val="3"/>
        </w:numPr>
      </w:pPr>
      <w:r>
        <w:rPr/>
        <w:t xml:space="preserve">Երկրաբանական ուսումնասիրության համաձայնությունը տրամադրվում է Հայաստանի Հանրապետության ընդերքի մասին օրենսգրքով (այսուհետ՝ Օրենսգիրք) և սույն որոշմամբ սահմանված կարգով:</w:t>
      </w:r>
    </w:p>
    <w:p>
      <w:pPr>
        <w:numPr>
          <w:ilvl w:val="0"/>
          <w:numId w:val="3"/>
        </w:numPr>
      </w:pPr>
      <w:r>
        <w:rPr/>
        <w:t xml:space="preserve">Երկրաբանական ուսումնասիրության նպատակով ընդերքօգտագործման իրավունքը դադարեցվում է Օրենսգրքով սահմանված կարգով:</w:t>
      </w:r>
    </w:p>
    <w:p>
      <w:pPr>
        <w:numPr>
          <w:ilvl w:val="0"/>
          <w:numId w:val="3"/>
        </w:numPr>
      </w:pPr>
      <w:r>
        <w:rPr/>
        <w:t xml:space="preserve">Երկրաբանական ուսումնասիրության համաձայնության հայցման համար անձը (այսուհետ` դիմումատու) Օրենսգրքի 33-րդ հոդվածի 2-րդ մասով սահմանված պահանջներին համապատասխան դիմում է ներկայացնում լիազոր մարմին:</w:t>
      </w:r>
    </w:p>
    <w:p>
      <w:pPr>
        <w:numPr>
          <w:ilvl w:val="0"/>
          <w:numId w:val="3"/>
        </w:numPr>
      </w:pPr>
      <w:r>
        <w:rPr/>
        <w:t xml:space="preserve">Դիմումի մուտքագրման օրվանից հետո` 10-օրյա ժամկետում, լիազոր մարմինը քննարկում է դիմումին կից ներկայացված երկրաբանական ուսումնասիրության ծրագիրը (այսուհետ` ծրագիր) և այն կառավարության սահմանած դեպքերում՝ Օրենսգրքի 36-րդ հոդվածի 3-րդ մասով նախատեսված փաստաթղթերի հետ միասին ներկայացնում է շրջակա միջավայրի վրա ազդեցության գնահատման և փորձաքննության: Շրջակա միջավայրի ոլորտի պետական կառավարման լիազոր մարմինը ծրագիրը ստանալուց հետո` օրենքով սահմանված ժամկետում ծրագրի վերաբերյալ տրամադրում է փորձաքննական եզրակացություն: Այն դեպքերում, երբ նախատեսվող գործունեությունը ենթակա չէ շրջակա միջավայրի վրա ազդեցության  գնահատման և փորձաքննության, ապա  շրջակա միջավայրի ոլորտի պետական կառավարման լիազոր մարմինը ծրագիրը ստանալուց հետո` 5 աշխատանքային օրվա ժամկետում այդ մասին տեղեկատվություն է տրամադրում լիազոր մարմնին:</w:t>
      </w:r>
    </w:p>
    <w:p>
      <w:pPr>
        <w:numPr>
          <w:ilvl w:val="0"/>
          <w:numId w:val="3"/>
        </w:numPr>
      </w:pPr>
      <w:r>
        <w:rPr/>
        <w:t xml:space="preserve">Շրջակա միջավայրի վրա ազդեցության գնահատման և փորձաքննության վերաբերյալ համապատասխան եզրակացությունը սահմանված ժամկետում չտրամադրվելու դեպքում այն համարվում է դրական:</w:t>
      </w:r>
    </w:p>
    <w:p>
      <w:pPr>
        <w:numPr>
          <w:ilvl w:val="0"/>
          <w:numId w:val="3"/>
        </w:numPr>
      </w:pPr>
      <w:r>
        <w:rPr/>
        <w:t xml:space="preserve">Շրջակա միջավայրի վրա ազդեցության գնահատման դրական եզրակացությունն ստանալուց հետո լիազոր մարմինը 20 օրվա ընթացքում, որոշում է ընդունում դիմումի վերաբերյալ, որի մասին գրավոր ծանուցում է դիմումատուին: Եթե սույն մասով սահմանված ժամկետում լիազոր մարմինը դիմումի վերաբերյալ որոշում չի ընդունում, ապա դիմումը համարվում է բավարարված: Այն դեպքերում, երբ ներկայացված ծրագիրը ենթակա չէ շրջակա միջավայրի վրա ազդեցության գնահատման և փորձաքննության, ապա լիազոր մարմինը ներկայացված դիմումի վերաբերյալ որոշում է կայացնում սույն կարգի 5-րդ կետում նշված տեղեկատվությունը ստանալուց հետո 20 օրվա ընթացքում:</w:t>
      </w:r>
    </w:p>
    <w:p>
      <w:pPr>
        <w:numPr>
          <w:ilvl w:val="0"/>
          <w:numId w:val="3"/>
        </w:numPr>
      </w:pPr>
      <w:r>
        <w:rPr/>
        <w:t xml:space="preserve">Եթե սույն կարգի 4-րդ կետով նշված դիմումը ներկայացված է թերություններով և չի համապատասխանում Օրենսգրքի 33-րդ հոդվածի 2-րդ մասում ներկայացված պահանջներին, ապա Լիազոր մարմինը դիմումի ստացման օրվանից հետո` տասնօրյա ժամկետում վերադարձնում է ներկայացված դիմումը՝ նշելով վերադարձնելու բոլոր հիմքերը: Դիմումի թերությունները վերացնելու համար լիազոր մարմինը տրամադրում է 10-օրյա ժամկետ` սկսած դիմումը վերադարձնելու մասին ծանուցումը ստանալու պահից: Շտկված դիմումը ներկայացնելու դեպքում՝ դիմումը ներկայացված է համարվում սկզբնական ներկայացման օրը, իսկ դիմումի քննության ժամկետը հաշվարկվում է այն կրկին անգամ ներկայացնելու օրվանից: Եթե նշված թերությունները սահմանված ժամկետում չեն վերացվում, ապա դիմումը համարվում է չներկայացված, բացառությամբ այն դեպքերի, երբ դիմումատուն հիմնավորում է սահմանված ժամկետում թերությունները վերացված դիմումը ներկայացնելու անհնարինությունը՝ իրենից անկախ պատճառներով:</w:t>
      </w:r>
    </w:p>
    <w:p>
      <w:pPr>
        <w:numPr>
          <w:ilvl w:val="0"/>
          <w:numId w:val="3"/>
        </w:numPr>
      </w:pPr>
      <w:r>
        <w:rPr/>
        <w:t xml:space="preserve">Լիազոր մարմինը մերժում է ներկայացված դիմումը Օրենսգրքի 33.1-րդ հոդվածով սահմանված հիմքերով:</w:t>
      </w:r>
    </w:p>
    <w:p>
      <w:pPr>
        <w:numPr>
          <w:ilvl w:val="0"/>
          <w:numId w:val="3"/>
        </w:numPr>
      </w:pPr>
      <w:r>
        <w:rPr/>
        <w:t xml:space="preserve">Ընդերքի երկրաբանական ուսումնասիրության համաձայնությունը տրվում է, եթե ընդերքի երկրաբանական ուսումնասիրության ծրագրում ներառված աշխատանքների կատարման նախանշված մեթոդները, եղանակները, միջոցները և մոտավոր ծավալները համապատասխանում են ՀՀ ընդերքի մասին օրենսգրքի 3-րդ հոդվածի 1-ին մասի 5-րդ կետում նշված աշխատանքների բնույթին:</w:t>
      </w:r>
    </w:p>
    <w:p>
      <w:pPr>
        <w:numPr>
          <w:ilvl w:val="0"/>
          <w:numId w:val="3"/>
        </w:numPr>
      </w:pPr>
      <w:r>
        <w:rPr/>
        <w:t xml:space="preserve">Դիմումի մերժման դեպքում լիազոր մարմնի կողմից նշվում են դիմումի մերժման բոլոր հիմքերը: Դիմումատուն կարող է դիմումի մերժման հիմքերը վերացնելուց հետո նոր դիմում ներկայացնել լիազոր մարմին, որից հետո դիմումի քննությունը սկսվում է սկզբից:</w:t>
      </w:r>
    </w:p>
    <w:p>
      <w:pPr>
        <w:numPr>
          <w:ilvl w:val="0"/>
          <w:numId w:val="3"/>
        </w:numPr>
      </w:pPr>
      <w:r>
        <w:rPr/>
        <w:t xml:space="preserve">Լիազոր մարմնի կողմից երկրաբանական ուսումնասիրության նպատակով համաձայնություն հայցելու դիմումը բավարարելու վերաբերյալ ծանուցումն ստանալուց հետո դիմումատուն 5-օրյա ժամկետում հրավիրվում է ընդերքի երկրաբանական ուսումնասիրության պայմանագիրն իր կողմից վավերացնելու համար:</w:t>
      </w:r>
    </w:p>
    <w:p>
      <w:pPr>
        <w:numPr>
          <w:ilvl w:val="0"/>
          <w:numId w:val="3"/>
        </w:numPr>
      </w:pPr>
      <w:r>
        <w:rPr/>
        <w:t xml:space="preserve">Միներալոգիական, հնէաբանական և երկրաբանական այլ հավաքածուների ստեղծման նպատակով կատարվող երկրաբանական ուսումնասիրությունների դեպքում՝ դիմումում պետք է նշվի հավաքածուի ստեղծման համար նախատեսվող նյութի (ապարի, միներալի, բրածոյի, նմուշի, օգտակար հանածոյի կամ այլ) կամ հավաքման ենթակա գեղագիտական և կիսաթանկարժեք քարերի քանակը:</w:t>
      </w:r>
    </w:p>
    <w:p>
      <w:pPr>
        <w:numPr>
          <w:ilvl w:val="0"/>
          <w:numId w:val="3"/>
        </w:numPr>
      </w:pPr>
      <w:r>
        <w:rPr/>
        <w:t xml:space="preserve">Ելնելով հավաքածուների ստեղծման աշխատանքների ձևից և նպատակներից` լիազոր մարմինը կարող է սահմանել հավաքվող նյութի թույլատրելի չափաքանակը: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             Հայաստանի Հանրապետության</w:t>
      </w:r>
    </w:p>
    <w:p>
      <w:pPr/>
      <w:r>
        <w:rPr>
          <w:b w:val="1"/>
          <w:bCs w:val="1"/>
        </w:rPr>
        <w:t xml:space="preserve">            կառավարության աշխատակազմի</w:t>
      </w:r>
    </w:p>
    <w:p>
      <w:pPr/>
      <w:r>
        <w:rPr>
          <w:b w:val="1"/>
          <w:bCs w:val="1"/>
        </w:rPr>
        <w:t xml:space="preserve">                            ղեկավար                                                    Ա.Հարությունյան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F86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F79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2026-04-06T22:24:32+04:00</dcterms:created>
  <dcterms:modified xsi:type="dcterms:W3CDTF">2026-04-06T22:24:32+04:00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