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 շարք սննդային հավելումների մանրածախ վաճառքին ներկայացվող պահանջները և ցանկը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2023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ՄԻ ՇԱՐՔ ՍՆՆԴԱՅԻՆ ՀԱՎԵԼՈՒՄՆԵՐԻ ՄԱՆՐԱԾԱԽ ՎԱՃԱՌՔԻՆ ՆԵՐԿԱՅԱՑՎՈՂ ՊԱՀԱՆՋՆԵՐԸ ԵՎ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«Սննդամթերքի անվտանգության մասին» օրենքի 6-րդ հոդվածի 1-ին մասի 23-րդ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Հաստատել Հայաստանի Հանրապետությունում մի շարք սննդային հավելումների մանրածախ վաճառքին ներկայացվող պահանջները՝ համաձայն N 1 հավելվածի:</w:t>
      </w:r>
    </w:p>
    <w:p>
      <w:pPr/>
      <w:r>
        <w:rPr/>
        <w:t xml:space="preserve">2. Հաստատել մանրածախ վաճառքի համար նախատեսված մի շարք սննդային հավելումների ցանկը՝ համաձայն N 2 հավելվածի:</w:t>
      </w:r>
    </w:p>
    <w:p>
      <w:pPr/>
      <w:r>
        <w:rPr/>
        <w:t xml:space="preserve">3. Սույն որոշումն ուժի մեջ է մտնում պաշտոնական հրապարակումից վեց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N 1</w:t>
      </w:r>
    </w:p>
    <w:p>
      <w:pPr>
        <w:jc w:val="end"/>
      </w:pPr>
      <w:r>
        <w:rPr/>
        <w:t xml:space="preserve"> ՀՀ կառավարության  թվականի</w:t>
      </w:r>
    </w:p>
    <w:p>
      <w:pPr>
        <w:jc w:val="end"/>
      </w:pPr>
      <w:r>
        <w:rPr/>
        <w:t xml:space="preserve">-ի N   - Ն որոշման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ՄԻ ՇԱՐՔ ՍՆՆԴԱՅԻՆ ՀԱՎԵԼՈՒՄՆԵՐԻ ՄԱՆՐԱԾԱԽ ՎԱՃԱՌՔԻՆ ՆԵՐԿԱՅԱՑՎՈՂ ՊԱՀԱՆՋՆԵՐԸ 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1. Մանրածախ վաճառքի համար նախատեսված մի շարք սննդային հավելումները պետք է համապատասխանեն Եվրասիական տնտեսական հանձնաժողովի խորհրդի 2012 թվականի հուլիսի 20-ի «Սննդային հավելումների, բուրավետիչների և տեխնոլոգիական օժանդակ միջոցների անվտանգությանը ներկայացվող պահանջներ» Մաքսային միության տեխնիկական կանոնակարգն ընդունելու մասին» N 58 որոշմանը, Մաքսային միության տեխնիկական այլ կանոնակարգերի, որոնց գործողությունը տարածվում է դրանց վրա, ինչպես նաև սույն հավելվածի 2-րդ կետով սահմանված պահանջներին:</w:t>
      </w:r>
    </w:p>
    <w:p>
      <w:pPr>
        <w:jc w:val="both"/>
      </w:pPr>
      <w:r>
        <w:rPr/>
        <w:t xml:space="preserve">2. Մի շարք սննդային հավելումների մանրածախ վաճառքի դեպքում պիտակի վրա պետք է նշվի՝</w:t>
      </w:r>
    </w:p>
    <w:p>
      <w:pPr>
        <w:jc w:val="both"/>
      </w:pPr>
      <w:r>
        <w:rPr/>
        <w:t xml:space="preserve">1) սննդային հավելման անվանումը,</w:t>
      </w:r>
    </w:p>
    <w:p>
      <w:pPr>
        <w:jc w:val="both"/>
      </w:pPr>
      <w:r>
        <w:rPr/>
        <w:t xml:space="preserve">2) սննդային հավելման ծագման երկիրը (եթե սննդային հավելումը վերամշակվում է երկրորդ երկրում, որտեղ փոխվել է դրա քիմիական կամ ֆիզիկական բնույթը, մակնշման նպատակներով ծագման երկիր է համարվում այն ​​երկիրը, որտեղ իրականացվել է վերամշակումը),</w:t>
      </w:r>
    </w:p>
    <w:p>
      <w:pPr>
        <w:jc w:val="both"/>
      </w:pPr>
      <w:r>
        <w:rPr/>
        <w:t xml:space="preserve">3) պահպանման ժամկետը,</w:t>
      </w:r>
    </w:p>
    <w:p>
      <w:pPr>
        <w:jc w:val="both"/>
      </w:pPr>
      <w:r>
        <w:rPr/>
        <w:t xml:space="preserve">4) տեսանելի տեղում զետեղվում է «սննդի մեջ օգտագործելու համար» բառերը,</w:t>
      </w:r>
    </w:p>
    <w:p>
      <w:pPr>
        <w:jc w:val="both"/>
      </w:pPr>
      <w:r>
        <w:rPr/>
        <w:t xml:space="preserve">5) բավարար տեղեկատվություն այն մասին, թե ինչպես պետք է սննդային հավելումը պահվի և օգտագործվի սննդի մեջ,</w:t>
      </w:r>
    </w:p>
    <w:p>
      <w:pPr>
        <w:jc w:val="both"/>
      </w:pPr>
      <w:r>
        <w:rPr/>
        <w:t xml:space="preserve">6) մանրածախ վաճառքի համար նախատեսված մի շարք սննդային հավելումների փաթեթավորման (պիտակների) վրա անհրաժեշտ է նշել օգտագործման վերաբերյալ համառոտ հրահանգ (օգտագործման եղանակ, չափաբաժիններ և ազդեցությունը մարդու օրգանիզմի վրա):</w:t>
      </w:r>
    </w:p>
    <w:p>
      <w:pPr>
        <w:jc w:val="both"/>
      </w:pPr>
      <w:r>
        <w:rPr/>
        <w:t xml:space="preserve">7) պարունակությունը՝</w:t>
      </w:r>
    </w:p>
    <w:p>
      <w:pPr>
        <w:jc w:val="both"/>
      </w:pPr>
      <w:r>
        <w:rPr/>
        <w:t xml:space="preserve">ա) հեղուկ սննդային հավելումների համար՝ ըստ ծավալի կամ քաշի.</w:t>
      </w:r>
    </w:p>
    <w:p>
      <w:pPr>
        <w:jc w:val="both"/>
      </w:pPr>
      <w:r>
        <w:rPr/>
        <w:t xml:space="preserve">բ) պինդ սննդային հավելումների համար, բացառությամբ հաբերի տեսքով վաճառվող հավելումների՝ ըստ քաշի.</w:t>
      </w:r>
    </w:p>
    <w:p>
      <w:pPr>
        <w:jc w:val="both"/>
      </w:pPr>
      <w:r>
        <w:rPr/>
        <w:t xml:space="preserve">գ) կիսապինդ կամ մածուցիկ սննդային հավելումների համար՝ ըստ քաշի կամ ծավալի.</w:t>
      </w:r>
    </w:p>
    <w:p>
      <w:pPr>
        <w:jc w:val="both"/>
      </w:pPr>
      <w:r>
        <w:rPr/>
        <w:t xml:space="preserve">դ) հաբերի տեսքով վաճառվող սննդային հավելումների համար՝ ըստ քաշի, փաթեթում հաբերի քանակի նշումով։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 ՀՀ կառավարության  թվականի</w:t>
      </w:r>
    </w:p>
    <w:p>
      <w:pPr>
        <w:jc w:val="end"/>
      </w:pPr>
      <w:r>
        <w:rPr/>
        <w:t xml:space="preserve">-ի N   - 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 </w:t>
      </w:r>
    </w:p>
    <w:p>
      <w:pPr>
        <w:jc w:val="center"/>
      </w:pPr>
      <w:r>
        <w:rPr>
          <w:b w:val="1"/>
          <w:bCs w:val="1"/>
        </w:rPr>
        <w:t xml:space="preserve">ՄԱՆՐԱԾԱԽ ՎԱՃԱՌՔԻ  ՀԱՄԱՐ ՆԱԽԱՏԵՍՎԱԾ ՄԻ ՇԱՐՔ ՍՆՆԴԱՅԻՆ ՀԱՎԵԼՈՒՄՆԵՐԻ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1185" w:type="dxa"/>
        <w:gridCol w:w="5100" w:type="dxa"/>
        <w:gridCol w:w="3285" w:type="dxa"/>
      </w:tblGrid>
      <w:tblPr>
        <w:tblW w:w="0" w:type="auto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>
                <w:b w:val="1"/>
                <w:bCs w:val="1"/>
              </w:rPr>
              <w:t xml:space="preserve">Դասիչը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Սննդային հավելման անվանումը</w:t>
            </w:r>
          </w:p>
        </w:tc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Տեխնոլոգիական նշանակությունը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Е200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Սորբինաթթու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Е201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սորբատ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Е202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Կալիումի սորբատ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Е203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Կալցիումի սորբատ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Е210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Բենզոաթթու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Е211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բենզոատ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Е212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Կալիումի բենզոատ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Е213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Կալցիումի բենզոատ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E260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Քացախաթթվի 9%-ոց (ոչ ավելի) ջրային լուծույթ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կոնսերվանտ, թթվայնության կարգավորիչ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Е620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Գլուտամինաթթու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Е621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գլուտամատ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Е622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Կալիումի գլուտամատ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Е626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Գուանիլաթթու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Е627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գուանիլատ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Е628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Կալիումի գուանիլատ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Е629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Կալցիումի գուանիլատ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Е630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Ինոզինաթթու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Е631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ինոզինատ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Е632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Կալիումի ինոզինատ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Е633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Կալցիումի ինոզինատ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Е634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Կալցիումի 5'-ռիբոնուկլեոտիդներ  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Е635</w:t>
            </w:r>
          </w:p>
        </w:tc>
        <w:tc>
          <w:tcPr>
            <w:tcW w:w="5100" w:type="dxa"/>
            <w:noWrap/>
          </w:tcPr>
          <w:p>
            <w:pPr/>
            <w:r>
              <w:rPr/>
              <w:t xml:space="preserve">Նատրիումի 5'-ռիբոնուկլեոտիդներ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համի և բույրի ուժեղացուցիչ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2026-04-01T23:30:43+04:00</dcterms:created>
  <dcterms:modified xsi:type="dcterms:W3CDTF">2026-04-01T23:30:43+04:00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