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ԵՎ ԾԱՌԱՅՈՂԱԿԱՆ ԶԵՆՔԻ ԱՐՏԱԴՐՈՒԹՅԱՆ, ԱՌԵՎՏՐԻ, ՀՐԱՁԳԱՐԱՆԻ ԳՈՐԾԱՐԿՄԱՆ ԼԻՑԵՆԶԻԱՆԵՐ ՈՒՆԵՑՈՂ ԻՐԱՎԱԲԱՆԱԿԱՆ ԱՆՁԱՆՑ, ՌԱԶՄԱՄԱՐԶԱԿԱՆ ԵՎ ՍՊՈՐՏԱՅԻՆ ՀՐԱՁԳՈՒԹՅԱՆ ԿԱԶՄԱԿԵՐՊՈՒԹՅՈՒՆՆԵՐԻ ԿՈՂՄԻՑ ՔԱՂԱՔԱՑԻԱԿԱՆ ԱԿՈՍԱՓՈՂ ԵՎ ՈՂՈՐԿԱՓՈՂ ՀՐԱԶԵՆԻ ՓԱՄՓՈՒՇՏՆԵՐԻ ԼԻՑՔԱՎՈՐՈՒՄ ԿԱՏԱՐԵԼՈՒ ԿԱՐԳԸ ՍԱՀՄԱՆԵԼՈՒ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b w:val="1"/>
          <w:bCs w:val="1"/>
        </w:rPr>
        <w:t xml:space="preserve">ԹԻՎ______-Ն</w:t>
      </w:r>
    </w:p>
    <w:p>
      <w:pPr>
        <w:jc w:val="center"/>
      </w:pPr>
      <w:r>
        <w:rPr>
          <w:b w:val="1"/>
          <w:bCs w:val="1"/>
        </w:rPr>
        <w:t xml:space="preserve"> </w:t>
      </w:r>
    </w:p>
    <w:p>
      <w:pPr>
        <w:jc w:val="center"/>
      </w:pPr>
      <w:r>
        <w:rPr>
          <w:b w:val="1"/>
          <w:bCs w:val="1"/>
        </w:rPr>
        <w:t xml:space="preserve">ՔԱՂԱՔԱՑԻԱԿԱՆ ԵՎ ԾԱՌԱՅՈՂԱԿԱՆ ԶԵՆՔԻ ԱՐՏԱԴՐՈՒԹՅԱՆ, ԱՌԵՎՏՐԻ, ՀՐԱՁԳԱՐԱՆԻ ԳՈՐԾԱՐԿՄԱՆ ԼԻՑԵՆԶԻԱՆԵՐ ՈՒՆԵՑՈՂ ԻՐԱՎԱԲԱՆԱԿԱՆ ԱՆՁԱՆՑ, ՌԱԶՄԱՄԱՐԶԱԿԱՆ ԵՎ ՍՊՈՐՏԱՅԻՆ ՀՐԱՁԳՈՒԹՅԱՆ ԿԱԶՄԱԿԵՐՊՈՒԹՅՈՒՆՆԵՐԻ ԿՈՂՄԻՑ ՔԱՂԱՔԱՑԻԱԿԱՆ ԱԿՈՍԱՓՈՂ ԵՎ ՈՂՈՐԿԱՓՈՂ ՀՐԱԶԵՆԻ ՓԱՄՓՈՒՇՏՆԵՐԻ ԼԻՑՔԱՎՈՐՈՒՄ ԿԱՏԱՐԵԼՈՒ ԿԱՐԳԸ ՍԱՀՄԱՆԵԼՈՒ ՄԱՍԻՆ</w:t>
      </w:r>
    </w:p>
    <w:p>
      <w:pPr>
        <w:jc w:val="center"/>
      </w:pPr>
      <w:r>
        <w:rPr/>
        <w:t xml:space="preserve"> </w:t>
      </w:r>
    </w:p>
    <w:p>
      <w:pPr>
        <w:jc w:val="both"/>
      </w:pPr>
      <w:r>
        <w:rPr/>
        <w:t xml:space="preserve">Հիմք ընդունելով «Զենքի շրջանառության կարգավորման մասին» օրենքի «Զենքի շրջանառության կարգավորման մասին» օրենքի 25-րդ հոդվածի 10-րդ մասը` Հայաստանի Հանրապետության կառավարությունը որոշում է.</w:t>
      </w:r>
    </w:p>
    <w:p>
      <w:pPr>
        <w:jc w:val="both"/>
      </w:pPr>
      <w:r>
        <w:rPr/>
        <w:t xml:space="preserve">1. Հաստատել քաղաքացիական և ծառայողական զենքի արտադրության, առևտրի, հրաձգարանի գործարկման լիցենզիաներ ունեցող իրավաբանական անձանց, ռազմամարզական և սպորտային հրաձգության կազմակերպությունների կողմից քաղաքացիական ակոսափող և ողորկափող հրազենի փամփուշտների լիցքավորում կատարելու կարգը՝ համաձայն հավելվածի:</w:t>
      </w:r>
    </w:p>
    <w:p>
      <w:pPr>
        <w:jc w:val="both"/>
      </w:pPr>
      <w:r>
        <w:rPr/>
        <w:t xml:space="preserve">2. Սույն որոշումն ուժի մեջ մտնելուց հետո, եռամսյա ժամկետում, կազմակերպել քաղաքացիական և ծառայողական զենքի արտադրության, առևտրի, հրաձգարանի գործարկման լիցենզիաներ ունեցող իրավաբանական անձանց, ռազմամարզական և սպորտային հրաձգության կազմակերպությունների կողմից քաղաքացիական ակոսափող և ողորկափող հրազենի փամփուշտների լիցքավորման համապատասխանության գնահատման գործընթացի համապատասխանությունը Հայաստանի Հանրապետության օրենսդրությանը:</w:t>
      </w:r>
    </w:p>
    <w:p>
      <w:pPr>
        <w:jc w:val="both"/>
      </w:pPr>
      <w:r>
        <w:rPr/>
        <w:t xml:space="preserve">3. Սույն որոշումն ուժի մեջ է մտնում «Զենքի շրջանառության կարգավորման մասին» օրենքի ուժի մեջ մտնելու օրը:</w:t>
      </w:r>
    </w:p>
    <w:p>
      <w:pPr>
        <w:jc w:val="both"/>
      </w:pPr>
      <w:r>
        <w:rPr/>
        <w:t xml:space="preserve"> </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r>
        <w:rPr/>
        <w:t xml:space="preserve"> </w:t>
      </w:r>
    </w:p>
    <w:p>
      <w:pPr/>
      <w:r>
        <w:rPr/>
        <w:t xml:space="preserve"> </w:t>
      </w:r>
    </w:p>
    <w:p>
      <w:pPr>
        <w:jc w:val="end"/>
      </w:pPr>
      <w:r>
        <w:rPr/>
        <w:t xml:space="preserve"> </w:t>
      </w:r>
    </w:p>
    <w:p>
      <w:pPr>
        <w:jc w:val="end"/>
      </w:pPr>
      <w:r>
        <w:rPr>
          <w:b w:val="1"/>
          <w:bCs w:val="1"/>
        </w:rPr>
        <w:t xml:space="preserve">Հավելված</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w:t>
      </w:r>
      <w:r>
        <w:rPr/>
        <w:t xml:space="preserve"> </w:t>
      </w:r>
      <w:r>
        <w:rPr>
          <w:b w:val="1"/>
          <w:bCs w:val="1"/>
        </w:rPr>
        <w:t xml:space="preserve">_______ թիվ __Ն</w:t>
      </w:r>
    </w:p>
    <w:p>
      <w:pPr>
        <w:jc w:val="end"/>
      </w:pPr>
      <w:r>
        <w:rPr>
          <w:b w:val="1"/>
          <w:bCs w:val="1"/>
        </w:rPr>
        <w:t xml:space="preserve">որոշման</w:t>
      </w:r>
    </w:p>
    <w:p>
      <w:pPr>
        <w:jc w:val="end"/>
      </w:pPr>
      <w:r>
        <w:rPr/>
        <w:t xml:space="preserve"> </w:t>
      </w:r>
    </w:p>
    <w:p>
      <w:pPr>
        <w:jc w:val="center"/>
      </w:pPr>
      <w:r>
        <w:rPr>
          <w:b w:val="1"/>
          <w:bCs w:val="1"/>
        </w:rPr>
        <w:t xml:space="preserve">ԿԱՐԳ</w:t>
      </w:r>
    </w:p>
    <w:p>
      <w:pPr>
        <w:jc w:val="center"/>
      </w:pPr>
      <w:r>
        <w:rPr>
          <w:b w:val="1"/>
          <w:bCs w:val="1"/>
        </w:rPr>
        <w:t xml:space="preserve">ՔԱՂԱՔԱՑԻԱԿԱՆ ԵՎ ԾԱՌԱՅՈՂԱԿԱՆ ԶԵՆՔԻ ԱՐՏԱԴՐՈՒԹՅԱՆ, ԱՌԵՎՏՐԻ, ՀՐԱՁԳԱՐԱՆԻ ԳՈՐԾԱՐԿՄԱՆ ԼԻՑԵՆԶԻԱՆԵՐ ՈՒՆԵՑՈՂ ԻՐԱՎԱԲԱՆԱԿԱՆ ԱՆՁԱՆՑ, ՌԱԶՄԱՄԱՐԶԱԿԱՆ ԵՎ ՍՊՈՐՏԱՅԻՆ ՀՐԱՁԳՈՒԹՅԱՆ ԿԱԶՄԱԿԵՐՊՈՒԹՅՈՒՆՆԵՐԻ </w:t>
      </w:r>
      <w:r>
        <w:rPr>
          <w:b w:val="1"/>
          <w:bCs w:val="1"/>
        </w:rPr>
        <w:t xml:space="preserve">ԿՈՂՄԻՑ ՔԱՂԱՔԱՑԻԱԿԱՆ ԱԿՈՍԱՓՈՂ ԵՎ ՈՂՈՐԿԱՓՈՂ ՀՐԱԶԵՆԻ ՓԱՄՓՈՒՇՏՆԵՐԻ ԼԻՑՔԱՎՈՐՈՒՄ ԿԱՏԱՐԵԼՈՒ</w:t>
      </w:r>
    </w:p>
    <w:p>
      <w:pPr>
        <w:jc w:val="center"/>
      </w:pPr>
      <w:r>
        <w:rPr>
          <w:b w:val="1"/>
          <w:bCs w:val="1"/>
        </w:rPr>
        <w:t xml:space="preserve"> </w:t>
      </w:r>
    </w:p>
    <w:p>
      <w:pPr>
        <w:jc w:val="center"/>
      </w:pPr>
      <w:r>
        <w:rPr>
          <w:b w:val="1"/>
          <w:bCs w:val="1"/>
        </w:rPr>
        <w:t xml:space="preserve">I. ԸՆԴՀԱՆՈՒՐ ԴՐՈՒՅԹՆԵՐ</w:t>
      </w:r>
    </w:p>
    <w:p>
      <w:pPr>
        <w:jc w:val="both"/>
      </w:pPr>
      <w:r>
        <w:rPr/>
        <w:t xml:space="preserve">1. Սույն կարգով սահմանվում են քաղաքացիական և ծառայողական զենքի արտադրության, առևտրի, հրաձգարանի գործարկման լիցենզիաներ ունեցող իրավաբանական անձանց, ռազմամարզական և սպորտային հրաձգության կազմակերպությունների (այսուհետ` լիցքավորող կազմակերպություն) կողմից քաղաքացիական ակոսափող և ողորկափող հրազենի փամփուշտների լիցքավորում կատարելու գործընթացը</w:t>
      </w:r>
      <w:r>
        <w:rPr>
          <w:b w:val="1"/>
          <w:bCs w:val="1"/>
        </w:rPr>
        <w:t xml:space="preserve">,</w:t>
      </w:r>
      <w:r>
        <w:rPr/>
        <w:t xml:space="preserve"> ներկայացվող պարտադիր պահանջներն ու պայմանները:</w:t>
      </w:r>
    </w:p>
    <w:p>
      <w:pPr>
        <w:jc w:val="both"/>
      </w:pPr>
      <w:r>
        <w:rPr/>
        <w:t xml:space="preserve">2. Քաղաքացիական ակոսափող և ողորկափող հրազենի փամփուշտների լիցքավորումն (այսուհետ` փամփուշտների լիցքավորում) իր մեջ ներառում է՝ լիցքավորվող փամփուշտների բաղկացուցիչ մասերի ներմուծումը, բաղկացուցիչ մասերի պիտանիության հետազոտումը, փամփուշտների լիցքավորումը, փորձարկումը:</w:t>
      </w:r>
    </w:p>
    <w:p>
      <w:pPr>
        <w:jc w:val="both"/>
      </w:pPr>
      <w:r>
        <w:rPr/>
        <w:t xml:space="preserve">3. Փամփուշտների լիցքավորումը պետք է համապատասխանի քաղաքացիական ակոսափող և ողորկափող հրազենի փամփուշտների տվյալ տեսակի և տրամաչափի պատրաստման համար նախատեսված՝ գործարանային արտադրության պայմաններին: Լիցքավորված փամփուշտները պետք է հստակ ունենան իրենց տարբերակիչ դրոշմվածքները (լիցքավորող կազմակերպության կամ գործարանի ծածկագրերը, լիցքավորման տարեթիվը), ինչպես նաև համապատասխան փորձարկումների արդյունքում հաստատված տեխնիկական բնութագրերը:</w:t>
      </w:r>
    </w:p>
    <w:p>
      <w:pPr>
        <w:jc w:val="both"/>
      </w:pPr>
      <w:r>
        <w:rPr/>
        <w:t xml:space="preserve">4. Լիցքավորված փամփուշտները պետք է պարտադիր համապատասխանեն սահմանված չափորոշիչներով ընդունված տեխնիկական բնութագրերին: Տեխնիկական բնութագրերին չհամապատասխանող լիցքավորված փամփուշտների արտադրությունը Հայաստանի Հանրապետության տարածքում արգելվում է:</w:t>
      </w:r>
    </w:p>
    <w:p>
      <w:pPr>
        <w:jc w:val="both"/>
      </w:pPr>
      <w:r>
        <w:rPr/>
        <w:t xml:space="preserve">5. Քաղաքացիական ակոսափող և ողորկափող հրազենի փամփուշտների լիցքավորման որակական հատկանիշների, դրանց անվտանգային պահանջների, ինչպես նաև լիցավորման ենթակա փամփուշտների տեխնիկական բնութագրերի համապատասխանության պատասխանատվությունը կրում է լիցքավող կազմակերպությունը:</w:t>
      </w:r>
    </w:p>
    <w:p>
      <w:pPr>
        <w:jc w:val="both"/>
      </w:pPr>
      <w:r>
        <w:rPr/>
        <w:t xml:space="preserve">6. Սույն կարգը չի տարածվում անձնական օգտագործման նպատակով քաղաքացիական ողորկափող հրազենի փամփուշտների լիցքավորման հետ կապված հարաբերությունների վրա, որը կարող է կատարել զենքը տնօրինողը՝ զենք պահելու և կրելու թույլտվության առկայության դեպքում:</w:t>
      </w:r>
    </w:p>
    <w:p>
      <w:pPr/>
      <w:r>
        <w:rPr/>
        <w:t xml:space="preserve"> </w:t>
      </w:r>
    </w:p>
    <w:p>
      <w:pPr>
        <w:jc w:val="center"/>
      </w:pPr>
      <w:r>
        <w:rPr>
          <w:b w:val="1"/>
          <w:bCs w:val="1"/>
        </w:rPr>
        <w:t xml:space="preserve">II. ՔԱՂԱՔԱՑԻԱԿԱՆ ԱԿՈՍԱՓՈՂ ԵՎ ՈՂՈՐԿԱՓՈՂ ՀՐԱԶԵՆԻ ՓԱՄՓՈՒՇՏՆԵՐԻ ԼԻՑՔԱՎՈՐՄԱՆԸ ՎԵՐԱԲԵՐՈՂ</w:t>
      </w:r>
      <w:r>
        <w:rPr>
          <w:b w:val="1"/>
          <w:bCs w:val="1"/>
        </w:rPr>
        <w:t xml:space="preserve"> ՊԱՅՄԱՆՆԵՐՆ ՈՒ ՊԱՀԱՆՋՆԵՐԸ</w:t>
      </w:r>
    </w:p>
    <w:p>
      <w:pPr>
        <w:jc w:val="both"/>
      </w:pPr>
      <w:r>
        <w:rPr/>
        <w:t xml:space="preserve">7. Լիցքավորող կազմակերպությունները պարտավոր են ապահովել օրենքով սահմանված՝ փամփուշտների արտադրման համար նախատեսված զետեղարաններին, պահոցներին, պահեստներին և առևտրի սրահներին ներկայացվող պահանջները:</w:t>
      </w:r>
    </w:p>
    <w:p>
      <w:pPr>
        <w:jc w:val="both"/>
      </w:pPr>
      <w:r>
        <w:rPr/>
        <w:t xml:space="preserve">8․ Լիցքավորող կազմակերպությունները փամփուշտների լիցքավորման գործընթացն սկսելուց առաջ մեկամսյա ժամկետում պարտավոր են անհրաժեշտ տեղեկություններ ներկայացնել Հայաստանի Հանրապետության ներքին գործերի նախարարության ոստիկանություն (այսուհետ` Ոստիկանություն)` նշելով լիցքավորող կազմակերպության անվանումը, նրա կողմից փամփուշտների լիցքավորում կատարելու փաստը և փամփուշտների լիցքավորում կատարելու վայրը` հետագայում Հայաստանի Հանրապետությունում քաղաքացիական և ծառայողական զենքի արտադրության, առևտրի, հրաձգարանի գործարկման լիցենզիաներ չունեցող, ռազմամարզական և սպորտային հրաձգության կազմակերպություններ չհանդիսացող այլ կազմակերպությունների կողմից փամփուշտների լիցքավորման հանգամանքը բացառելու նպատակով:</w:t>
      </w:r>
    </w:p>
    <w:p>
      <w:pPr>
        <w:jc w:val="both"/>
      </w:pPr>
      <w:r>
        <w:rPr/>
        <w:t xml:space="preserve">9. Լիցքավորող կազմակերպությունները պարտավոր են տվյալ գործունեությունն իրականացնել միայն իրենց կողմից Ոստիկանությանը տեղեկացրած վայրում: Նշված գործունեությունն իրականացնելու վայրի փոփոխության դեպքում անհրաժեշտ է անհապաղ տեղյակ պահել Ոստիկանությանը:</w:t>
      </w:r>
    </w:p>
    <w:p>
      <w:pPr>
        <w:jc w:val="both"/>
      </w:pPr>
      <w:r>
        <w:rPr/>
        <w:t xml:space="preserve">10. Արգելվում է փամփուշտների լիցքավորման ընթացքում օգտագործել նախկինում կրակված (զենքի կրակման հետքեր կրող, զենքի մեջ լիցքավորված կամ լիցքաթափված) փամփուշտների կամ դրանց բաղկացուցիչ մասերի (պարկուճ, գնդակ, հրապատիճ, մանրագնդակ և այլն) օգտագործումը:</w:t>
      </w:r>
    </w:p>
    <w:p>
      <w:pPr>
        <w:jc w:val="both"/>
      </w:pPr>
      <w:r>
        <w:rPr/>
        <w:t xml:space="preserve">11. Ելնելով պետության և հասարակության շահերի պաշտպանության անհրաժեշտությունից` քաղաքացիական ակոսափող և ողորկափող հրազենի փամփուշտների լիցքավորման արտադրությամբ զբաղվող իրավաբանական անձինք պարտավոր են ապահովել հետևյալ պայմանները և պահանջները`</w:t>
      </w:r>
    </w:p>
    <w:p>
      <w:pPr>
        <w:jc w:val="both"/>
      </w:pPr>
      <w:r>
        <w:rPr/>
        <w:t xml:space="preserve">1)  փամփուշտների լիցքավորման տարածքում ունենալ պահեստային շինություններ, զինասենյակներ, փորձարկման լաբորատորիաներ, լիցքավորված փամփուշների նպատակային նշանակությունը և պիտանիությունը ստուգող (փորձարարական կրակման նպատակով օգտագործվող)՝ փորձարարական հրաձգարան, խոտանի մեկուսարաններ և համապատասխան պահարաններ, որոնց անհրաժեշտությունը և թիվը որոշվում են` ելնելով լիցքավորվող փամփուշտների արտադրական հզորությունից, տեխնիկական առաջարկությունից ու պայմաններից, ինչպես նաև պատրաստման տեխնոլոգիայից.</w:t>
      </w:r>
    </w:p>
    <w:p>
      <w:pPr>
        <w:jc w:val="both"/>
      </w:pPr>
      <w:r>
        <w:rPr/>
        <w:t xml:space="preserve">2)  փամփուշտների լիցքավորման տարածքի մուտքերը պետք է ունենան մետաղահսկիչ սարքավորումներ, անվտանգության համակարգեր, ազդանշանային սարքավորումներ.</w:t>
      </w:r>
    </w:p>
    <w:p>
      <w:pPr>
        <w:jc w:val="both"/>
      </w:pPr>
      <w:r>
        <w:rPr/>
        <w:t xml:space="preserve">3) փամփուշտների լիցքավորման տարածքի պատուհանները, ելքային և մուտքային տեղամասերը, հրավտանգ և առավել հրավտանգ տեղամասերը պետք է կառուցված լինեն հրդեհային անվտանգության կանոնների խստագույնս պահպանմամբ.</w:t>
      </w:r>
    </w:p>
    <w:p>
      <w:pPr>
        <w:jc w:val="both"/>
      </w:pPr>
      <w:r>
        <w:rPr/>
        <w:t xml:space="preserve">4) փամփուշտների լիցքավորման տարածքները, շենքերն ու շինությունները պետք է լինեն առանձնացված և բնակելի, պետական, հասարակական և արտադրական շենքերից գտնվեն առնվազն՝ 500 մետր հեռավորության վրա:</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2026-03-31T15:56:34+04:00</dcterms:created>
  <dcterms:modified xsi:type="dcterms:W3CDTF">2026-03-31T15:56:34+04:00</dcterms:modified>
</cp:coreProperties>
</file>

<file path=docProps/custom.xml><?xml version="1.0" encoding="utf-8"?>
<Properties xmlns="http://schemas.openxmlformats.org/officeDocument/2006/custom-properties" xmlns:vt="http://schemas.openxmlformats.org/officeDocument/2006/docPropsVTypes"/>
</file>