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«ՃԱՆԱՊԱՐՀԱՅԻՆ ԵՐԹԵՎԵԿՈՒԹՅԱՆ ԱՆՎՏԱՆԳՈՒԹՅԱՆ ԱՊԱՀՈՎՄԱՆ ՄԱՍԻՆ» ՕՐԵՆՔՈՒՄ ՓՈՓՈԽՈՒԹՅՈՒՆ ԿԱՏԱՐԵԼՈՒ ՄԱՍԻՆ» ՕՐԵՆՔԻ ՆԱԽԱԳԻԾ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ՃԱՆԱՊԱՐՀԱՅԻՆ ԵՐԹԵՎԵԿՈՒԹՅԱՆ ԱՆՎՏԱՆԳՈՒԹՅԱՆ ԱՊԱՀՈՎՄԱՆ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«Ճանապարհային Երթևեկության անվտանգության ապահովման մասին» 2005 թվականի հուլիսի 8-ի ՀՕ-166-Ն օրենքի 15-րդ հոդվածի 1-ին մասը շարադրել հետևյալ խմբագրությամբ․</w:t>
      </w:r>
    </w:p>
    <w:p>
      <w:pPr/>
      <w:r>
        <w:rPr/>
        <w:t xml:space="preserve">«1. Հայաստանի Հանրապետության տարածքում շահագործվող, այդ թվում՝ այլ պետություններում հաշվառված և վերջին 12 ամսվա ընթացքում 180 օր և ավելի անընդմեջ Հայաստանի Հանրապետությունում շահագործվող տրանսպորտային միջոցները ենթակա են տեխնիկական զննության Հայաստանի Հանրապետության օրենսդրությամբ սահմանված կարգով:»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Սույն օրենքն ուժի մեջ է մտնում պաշտոնական հրապարակմանը հաջորդող տասներորդ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2026-04-07T00:06:33+04:00</dcterms:created>
  <dcterms:modified xsi:type="dcterms:W3CDTF">2026-04-07T00:06:33+04:00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