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Կառավարության <<ՌԵԿՈՒԼՏԻՎԱՑԻՈՆ ՖՈՆԴԻ ԱՐԴՅՈՒՆԱՎԵՏ ԿԱՌԱՎԱՐՄԱՆ ՀԱՅԵՑԱԿԱՐԳՆ ԱՊԱՀՈՎՈՂ ՄԻՋՈՑԱՌՈՒՄՆԵՐԻ ՑԱՆԿԻՆ ՀԱՎԱՆՈՒԹՅՈՒՆ ՏԱԼՈՒ ՄԱՍԻՆ>> արձանագրային որոշման նախագիծ</w:t></w:r><w:bookmarkEnd w:id="0"/></w:p><w:p><w:pPr><w:jc w:val="end"/></w:pPr><w:r><w:rPr/><w:t xml:space="preserve">ՆԱԽԱԳԻԾ</w:t></w:r></w:p><w:p><w:pPr><w:jc w:val="end"/></w:pPr><w:r><w:rPr/><w:t xml:space="preserve"> արձանագրային</w:t></w:r></w:p><w:p><w:pPr><w:jc w:val="end"/></w:pPr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ԿԱՌԱՎԱՐՈՒԹՅԱՆ ՈՐՈՇՈՒՄ</w:t></w:r></w:p><w:p><w:pPr><w:jc w:val="center"/></w:pPr><w:r><w:rPr><w:b w:val="1"/><w:bCs w:val="1"/></w:rPr><w:t xml:space="preserve">ՌԵԿՈՒԼՏԻՎԱՑԻՈՆ ՖՈՆԴԻ ԱՐԴՅՈՒՆԱՎԵՏ ԿԱՌԱՎԱՐՄԱՆ ՀԱՅԵՑԱԿԱՐԳ</w:t></w:r><w:r><w:rPr><w:b w:val="1"/><w:bCs w:val="1"/></w:rPr><w:t xml:space="preserve">Ն</w:t></w:r><w:r><w:rPr/><w:t xml:space="preserve"> </w:t></w:r><w:r><w:rPr><w:b w:val="1"/><w:bCs w:val="1"/></w:rPr><w:t xml:space="preserve">ԱՊԱՀՈՎՈՂ</w:t></w:r><w:r><w:rPr/><w:t xml:space="preserve"> </w:t></w:r><w:r><w:rPr><w:b w:val="1"/><w:bCs w:val="1"/></w:rPr><w:t xml:space="preserve">ՄԻՋՈՑԱՌՈՒՄՆԵՐԻ</w:t></w:r><w:r><w:rPr/><w:t xml:space="preserve"> </w:t></w:r><w:r><w:rPr><w:b w:val="1"/><w:bCs w:val="1"/></w:rPr><w:t xml:space="preserve">ՑԱՆԿԻՆ</w:t></w:r><w:r><w:rPr/><w:t xml:space="preserve"> </w:t></w:r><w:r><w:rPr><w:b w:val="1"/><w:bCs w:val="1"/></w:rPr><w:t xml:space="preserve">ՀԱՎԱՆՈՒԹՅՈՒՆ</w:t></w:r><w:r><w:rPr/><w:t xml:space="preserve"> </w:t></w:r><w:r><w:rPr><w:b w:val="1"/><w:bCs w:val="1"/></w:rPr><w:t xml:space="preserve">ՏԱԼՈՒ</w:t></w:r><w:r><w:rPr/><w:t xml:space="preserve"> </w:t></w:r><w:r><w:rPr><w:b w:val="1"/><w:bCs w:val="1"/></w:rPr><w:t xml:space="preserve">ՄԱՍԻՆ</w:t></w:r></w:p><w:p><w:pPr><w:jc w:val="center"/></w:pPr><w:r><w:rPr><w:b w:val="1"/><w:bCs w:val="1"/></w:rPr><w:t xml:space="preserve"> </w:t></w:r></w:p><w:p><w:pPr/><w:r><w:rPr/><w:t xml:space="preserve"> </w:t></w:r></w:p><w:p><w:pPr/><w:r><w:rPr/><w:t xml:space="preserve">1.Հավանություն տալ Ռեկուլտիվացիոն ֆոնդի արդյունավետ կառավարման հայեցակարգն ապահովող միջոցառումների ցանկին՝ համաձայն հավելվածի: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ՀՀ կառավարության</w:t></w:r></w:p><w:p><w:pPr><w:jc w:val="end"/></w:pPr><w:r><w:rPr/><w:t xml:space="preserve">2017 թվականի --------- N </w:t></w:r></w:p><w:p><w:pPr><w:jc w:val="end"/></w:pPr><w:r><w:rPr/><w:t xml:space="preserve">արձանագրային որոշման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ՌԵԿՈՒԼՏԻՎԱՑԻՈՆ ՖՈՆԴԻ ԱՐԴՅՈՒՆԱՎԵՏ ԿԱՌԱՎԱՐՄԱՆ ՀԱՅԵՑԱԿԱՐԳ</w:t></w:r><w:r><w:rPr><w:b w:val="1"/><w:bCs w:val="1"/></w:rPr><w:t xml:space="preserve">Ն</w:t></w:r><w:r><w:rPr/><w:t xml:space="preserve"> </w:t></w:r><w:r><w:rPr><w:b w:val="1"/><w:bCs w:val="1"/></w:rPr><w:t xml:space="preserve">ԱՊԱՀՈՎՈՂ</w:t></w:r><w:r><w:rPr/><w:t xml:space="preserve"> </w:t></w:r><w:r><w:rPr><w:b w:val="1"/><w:bCs w:val="1"/></w:rPr><w:t xml:space="preserve">ՄԻՋՈՑԱՌՈՒՄՆԵՐԻ</w:t></w:r><w:r><w:rPr/><w:t xml:space="preserve"> </w:t></w:r><w:r><w:rPr><w:b w:val="1"/><w:bCs w:val="1"/></w:rPr><w:t xml:space="preserve">ՑԱՆԿ</w:t></w:r></w:p><w:tbl><w:tblGrid><w:gridCol w:w="150" w:type="dxa"/><w:gridCol w:w="800" w:type="dxa"/><w:gridCol w:w="800" w:type="dxa"/><w:gridCol w:w="750" w:type="dxa"/><w:gridCol w:w="1050" w:type="dxa"/><w:gridCol w:w="650" w:type="dxa"/><w:gridCol w:w="650" w:type="dxa"/></w:tblGrid><w:tblPr><w:tblW w:w="5000" w:type="pct"/><w:tblLayout w:type="autofit"/></w:tblPr><w:tr><w:trPr/><w:tc><w:tcPr><w:tcW w:w="150" w:type="pct"/><w:noWrap/></w:tcPr><w:p><w:pPr/><w:r><w:rPr/><w:t xml:space="preserve">NN </w:t></w:r><w:br/><w:r><w:rPr/><w:t xml:space="preserve"> ը/կ</w:t></w:r></w:p></w:tc><w:tc><w:tcPr><w:tcW w:w="800" w:type="pct"/><w:noWrap/></w:tcPr><w:p><w:pPr/><w:r><w:rPr><w:b w:val="1"/><w:bCs w:val="1"/></w:rPr><w:t xml:space="preserve">Միջոցառման անվանումը</w:t></w:r></w:p></w:tc><w:tc><w:tcPr><w:tcW w:w="800" w:type="pct"/><w:noWrap/></w:tcPr><w:p><w:pPr/><w:r><w:rPr><w:b w:val="1"/><w:bCs w:val="1"/></w:rPr><w:t xml:space="preserve">Պատասխանատու   կատարողը</w:t></w:r></w:p></w:tc><w:tc><w:tcPr><w:tcW w:w="750" w:type="pct"/><w:noWrap/></w:tcPr><w:p><w:pPr/><w:r><w:rPr><w:b w:val="1"/><w:bCs w:val="1"/></w:rPr><w:t xml:space="preserve">Համակատարողը</w:t></w:r></w:p></w:tc><w:tc><w:tcPr><w:tcW w:w="1050" w:type="pct"/><w:noWrap/></w:tcPr><w:p><w:pPr/><w:r><w:rPr><w:b w:val="1"/><w:bCs w:val="1"/></w:rPr><w:t xml:space="preserve">Ակնկալվող վերջնական արդյունքը</w:t></w:r></w:p></w:tc><w:tc><w:tcPr><w:tcW w:w="650" w:type="pct"/><w:noWrap/></w:tcPr><w:p><w:pPr/><w:r><w:rPr><w:b w:val="1"/><w:bCs w:val="1"/></w:rPr><w:t xml:space="preserve">Կատարման ժամկետը</w:t></w:r></w:p></w:tc><w:tc><w:tcPr><w:tcW w:w="650" w:type="pct"/><w:noWrap/></w:tcPr><w:p><w:pPr/><w:r><w:rPr><w:b w:val="1"/><w:bCs w:val="1"/></w:rPr><w:t xml:space="preserve">Ֆինանսավոր</w:t></w:r><w:r><w:rPr><w:b w:val="1"/><w:bCs w:val="1"/></w:rPr><w:t xml:space="preserve">-</w:t></w:r><w:r><w:rPr><w:b w:val="1"/><w:bCs w:val="1"/></w:rPr><w:t xml:space="preserve">ման աղբյուրը</w:t></w:r></w:p></w:tc></w:tr><w:tr><w:trPr/><w:tc><w:tcPr><w:tcW w:w="150" w:type="pct"/><w:noWrap/></w:tcPr><w:p><w:pPr/><w:r><w:rPr/><w:t xml:space="preserve">1.</w:t></w:r></w:p></w:tc><w:tc><w:tcPr><w:tcW w:w="800" w:type="pct"/><w:noWrap/></w:tcPr><w:p><w:pPr/><w:r><w:rPr/><w:t xml:space="preserve">«ՀՀ ընդերքի մասին օրենսգրքում փոփոխություններ և լրացումներ կատարելու մասին» ՀՀ օրենքի նախագծի մշակում</w:t></w:r></w:p></w:tc><w:tc><w:tcPr><w:tcW w:w="800" w:type="pct"/><w:noWrap/></w:tcPr><w:p><w:pPr/><w:r><w:rPr/><w:t xml:space="preserve">ՀՀ բնապահպանու-թյան նախարարություն</w:t></w:r></w:p><w:p><w:pPr/><w:r><w:rPr/><w:t xml:space="preserve"> </w:t></w:r></w:p></w:tc><w:tc><w:tcPr><w:tcW w:w="750" w:type="pct"/><w:noWrap/></w:tcPr><w:p><w:pPr/><w:r><w:rPr><w:b w:val="1"/><w:bCs w:val="1"/></w:rPr><w:t xml:space="preserve">ՀՀ էներգետիկ ենթակառուց</w:t></w:r><w:r><w:rPr><w:b w:val="1"/><w:bCs w:val="1"/></w:rPr><w:t xml:space="preserve">-</w:t></w:r><w:r><w:rPr><w:b w:val="1"/><w:bCs w:val="1"/></w:rPr><w:t xml:space="preserve">վածքների և բնական պաշարների նախարարություն</w:t></w:r><w:r><w:rPr><w:b w:val="1"/><w:bCs w:val="1"/></w:rPr><w:t xml:space="preserve">,</w:t></w:r></w:p><w:p><w:pPr/><w:r><w:rPr><w:b w:val="1"/><w:bCs w:val="1"/></w:rPr><w:t xml:space="preserve">ՀՀ ֆինանսների նախարարություն</w:t></w:r></w:p></w:tc><w:tc><w:tcPr><w:tcW w:w="1050" w:type="pct"/><w:noWrap/></w:tcPr><w:p><w:pPr/><w:r><w:rPr><w:b w:val="1"/><w:bCs w:val="1"/></w:rPr><w:t xml:space="preserve">Շրջակա</w:t></w:r><w:r><w:rPr/><w:t xml:space="preserve"> </w:t></w:r><w:r><w:rPr><w:b w:val="1"/><w:bCs w:val="1"/></w:rPr><w:t xml:space="preserve">միջավայրի</w:t></w:r><w:r><w:rPr/><w:t xml:space="preserve"> </w:t></w:r><w:r><w:rPr><w:b w:val="1"/><w:bCs w:val="1"/></w:rPr><w:t xml:space="preserve">պահպանության</w:t></w:r><w:r><w:rPr/><w:t xml:space="preserve"> </w:t></w:r><w:r><w:rPr><w:b w:val="1"/><w:bCs w:val="1"/></w:rPr><w:t xml:space="preserve">դ</w:t></w:r><w:r><w:rPr><w:b w:val="1"/><w:bCs w:val="1"/></w:rPr><w:t xml:space="preserve">րամագլխի գումարների</w:t></w:r><w:r><w:rPr/><w:t xml:space="preserve"> </w:t></w:r><w:r><w:rPr><w:b w:val="1"/><w:bCs w:val="1"/></w:rPr><w:t xml:space="preserve">արդյունավետ</w:t></w:r><w:r><w:rPr/><w:t xml:space="preserve"> </w:t></w:r><w:r><w:rPr><w:b w:val="1"/><w:bCs w:val="1"/></w:rPr><w:t xml:space="preserve">կառավար</w:t></w:r><w:r><w:rPr><w:b w:val="1"/><w:bCs w:val="1"/></w:rPr><w:t xml:space="preserve">ու</w:t></w:r><w:r><w:rPr><w:b w:val="1"/><w:bCs w:val="1"/></w:rPr><w:t xml:space="preserve">մ, </w:t></w:r><w:r><w:rPr/><w:t xml:space="preserve"> ռեկուլտիվացիոն ֆոնդից անհրաժեշտ դրամական միջոցների նպատակային օգտագործում՝</w:t></w:r></w:p><w:p><w:pPr/><w:r><w:rPr/><w:t xml:space="preserve">1.Իրավահարաբերություն-ների կարգավորում՝ կապված  ընդերքօգտագործման իրավունքների դադարեցման գործընթացի շրջանակներում ՀՀ բնապահպանության նախարարության մասնակցության/տեղե-կացված լինելու ապահովման հետ:</w:t></w:r></w:p><w:p><w:pPr/><w:r><w:rPr/><w:t xml:space="preserve">2.Իրավահարաբերություն-ների կարգավորում՝ նախատեսելով   ընդերքօգ­տագոր­­ծողների կողմից ընդերքօգտագործման թափոնների վերամշակման պլան­ների իրագործման ավարտին շրջակա միջավայրի պահպանության դրամագլխին հատկացված գումարների վերահաշվարկման մեխանիզմ:</w:t></w:r></w:p><w:p><w:pPr/><w:r><w:rPr/><w:t xml:space="preserve">3. Ռեկուլտիվացիոն ֆոնդի արդյունավետ կառավարման և օգտագործման համապատասխան մեխանիզմի սահմանում՝ ընդերքօգտագործման թույլտվությունների ժամկետների ավարտից հետո խախտված հողատարածքներում նոր բիզնես-ծրագրերի   իրականացման համար:</w:t></w:r></w:p></w:tc><w:tc><w:tcPr><w:tcW w:w="650" w:type="pct"/><w:noWrap/></w:tcPr><w:p><w:pPr/><w:r><w:rPr/><w:t xml:space="preserve">2018թ.</w:t></w:r></w:p><w:p><w:pPr/><w:r><w:rPr/><w:t xml:space="preserve">նոյեմբերի 3-րդ տասնօրյակ</w:t></w:r></w:p></w:tc><w:tc><w:tcPr><w:tcW w:w="650" w:type="pct"/><w:noWrap/></w:tcPr><w:p><w:pPr/><w:r><w:rPr/><w:t xml:space="preserve">Ֆինանսավո-րում չի պահանջվում</w:t></w:r></w:p></w:tc></w:tr><w:tr><w:trPr/><w:tc><w:tcPr><w:tcW w:w="150" w:type="pct"/><w:noWrap/></w:tcPr><w:p><w:pPr/><w:r><w:rPr/><w:t xml:space="preserve">2.</w:t></w:r></w:p></w:tc><w:tc><w:tcPr><w:tcW w:w="800" w:type="pct"/><w:noWrap/></w:tcPr><w:p><w:pPr/><w:r><w:rPr/><w:t xml:space="preserve">«Հայաստանի Հանրապետության կառավարության 2012 թվականի օգոստոսի 23-ի N 1079-Ն որոշման մեջ  փոփոխություններ և լրացումներ կատարելու մասին» ՀՀ կառավարության որոշման նախագծի մշակում</w:t></w:r></w:p></w:tc><w:tc><w:tcPr><w:tcW w:w="800" w:type="pct"/><w:noWrap/></w:tcPr><w:p><w:pPr/><w:r><w:rPr/><w:t xml:space="preserve">ՀՀ բնապահպանու-թյան նախարարություն</w:t></w:r></w:p><w:p><w:pPr/><w:r><w:rPr/><w:t xml:space="preserve"> </w:t></w:r></w:p></w:tc><w:tc><w:tcPr><w:tcW w:w="750" w:type="pct"/><w:noWrap/></w:tcPr><w:p><w:pPr/><w:r><w:rPr/><w:t xml:space="preserve">ՀՀ ֆինանսների նախարարություն</w:t></w:r></w:p></w:tc><w:tc><w:tcPr><w:tcW w:w="1050" w:type="pct"/><w:noWrap/></w:tcPr><w:p><w:pPr/><w:r><w:rPr/><w:t xml:space="preserve">Շրջակա միջավայրի պահպանության դրամագլխին կատարվող վճարների կարգավորում /վերջնական հատկացում/, ընդերքօգտագործողին դրամագլխից հատկացումներ կատարելու նպատակով՝ լիազոր մարմնի կողմից որոշում կայացնելու գործընթացի պարզեցում,</w:t></w:r></w:p><w:p><w:pPr/><w:r><w:rPr/><w:t xml:space="preserve">հանքերի փակման ժամանակ խախտված տարածքների վերականգման աշխատանքների ֆինանսավորման ապահովում:</w:t></w:r></w:p><w:p><w:pPr/><w:r><w:rPr/><w:t xml:space="preserve"> </w:t></w:r></w:p></w:tc><w:tc><w:tcPr><w:tcW w:w="650" w:type="pct"/><w:noWrap/></w:tcPr><w:p><w:pPr/><w:r><w:rPr/><w:t xml:space="preserve">2019թ.</w:t></w:r></w:p><w:p><w:pPr/><w:r><w:rPr/><w:t xml:space="preserve">նոյեմբերի 3-րդ տասնօրյակ</w:t></w:r></w:p></w:tc><w:tc><w:tcPr><w:tcW w:w="650" w:type="pct"/><w:noWrap/></w:tcPr><w:p><w:pPr/><w:r><w:rPr/><w:t xml:space="preserve">Ֆինանսավո-րում չի պահանջվում</w:t></w:r></w:p></w:tc></w:tr><w:tr><w:trPr/><w:tc><w:tcPr><w:tcW w:w="150" w:type="pct"/><w:noWrap/></w:tcPr><w:p><w:pPr/><w:r><w:rPr/><w:t xml:space="preserve">3.</w:t></w:r></w:p></w:tc><w:tc><w:tcPr><w:tcW w:w="800" w:type="pct"/><w:noWrap/></w:tcPr><w:p><w:pPr/><w:r><w:rPr/><w:t xml:space="preserve">Ընդերքօգտա-գործման արդյունքում խախտված հողերի կենսաբանական վերականգնման իրականացման ուղեցույցի մշակում</w:t></w:r></w:p></w:tc><w:tc><w:tcPr><w:tcW w:w="800" w:type="pct"/><w:noWrap/></w:tcPr><w:p><w:pPr/><w:r><w:rPr/><w:t xml:space="preserve">ՀՀ բնապահպանու-թյան նախարարություն</w:t></w:r></w:p></w:tc><w:tc><w:tcPr><w:tcW w:w="750" w:type="pct"/><w:noWrap/></w:tcPr><w:p><w:pPr/><w:r><w:rPr/><w:t xml:space="preserve">-        </w:t></w:r></w:p></w:tc><w:tc><w:tcPr><w:tcW w:w="1050" w:type="pct"/><w:noWrap/></w:tcPr><w:p><w:pPr/><w:r><w:rPr/><w:t xml:space="preserve">Ընդերքօգտագործման արդյունքում խախտված հողերի կենսաբանական վերականգնման ուղեցույց</w:t></w:r></w:p></w:tc><w:tc><w:tcPr><w:tcW w:w="650" w:type="pct"/><w:noWrap/></w:tcPr><w:p><w:pPr/><w:r><w:rPr/><w:t xml:space="preserve">2020թ. Ֆինանսա-վորման առկայության դեպքում</w:t></w:r></w:p></w:tc><w:tc><w:tcPr><w:tcW w:w="650" w:type="pct"/><w:noWrap/></w:tcPr><w:p><w:pPr/><w:r><w:rPr><w:b w:val="1"/><w:bCs w:val="1"/></w:rPr><w:t xml:space="preserve">Օրենքով չարգելված այլ միջոցներ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2026-04-02T19:34:15+04:00</dcterms:created>
  <dcterms:modified xsi:type="dcterms:W3CDTF">2026-04-02T19:34:15+04:00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