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2015 ԹՎԱԿԱՆԻ ՓԵՏՐՎԱՐԻ 19-Ի N 165-Ն ՈՐՈՇՄԱՆ ՄԵՋ ԼՐԱՑՈՒՄՆԵՐ   ԿԱՏԱՐԵԼՈՒ ՄԱUԻՆ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2015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ՓԵՏՐՎԱՐԻ 19-Ի</w:t>
      </w:r>
      <w:r>
        <w:rPr>
          <w:b w:val="1"/>
          <w:bCs w:val="1"/>
        </w:rPr>
        <w:t xml:space="preserve"> N 165-Ն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ԼՐԱՑՈՒՄՆԵՐ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«Իրավական ակտերի մասին» Հայաստանի Հանրապետության օրենքի 70-րդ հոդվածի 1-ին մասով`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փետրվարի 19-ի «Կոռուպցիայի դեմ պայքարի խորհուրդ և փորձագիտական հանձնախումբ ստեղծելու, խորհրդի կազմը, խորհրդի, փորձագիտական հանձնախմբի և Հայաստանի Հանրապետության կառավարության աշխատակազմի հակակոռուպցիոն ծրագրերի մոնիթորինգի բաժնի գործունեության կարգը հաստատելու մասին» N 165-Ն որոշման N 2 հավելվածի`</w:t>
      </w:r>
    </w:p>
    <w:p>
      <w:pPr>
        <w:numPr>
          <w:ilvl w:val="0"/>
          <w:numId w:val="3"/>
        </w:numPr>
      </w:pPr>
      <w:r>
        <w:rPr/>
        <w:t xml:space="preserve">2-րդ կետը լրացնել  հետևյալ բովանդակությամբ՝ 12-րդ ենթակետով՝</w:t>
      </w:r>
    </w:p>
    <w:p>
      <w:pPr/>
      <w:r>
        <w:rPr/>
        <w:t xml:space="preserve">«12) իրականացնում է կոռուպցիայի դեմ պայքարի ոլորտում ներգրավված միջազգային դոնոր կազմակերպությունների հետ համագործակցության համակարգում՝ սույն որոշմամբ սահմանված կարգով:».</w:t>
      </w:r>
    </w:p>
    <w:p>
      <w:pPr>
        <w:numPr>
          <w:ilvl w:val="0"/>
          <w:numId w:val="4"/>
        </w:numPr>
      </w:pPr>
      <w:r>
        <w:rPr/>
        <w:t xml:space="preserve">9-րդ կետը լրացնել հետևյալ բովանդակությամբ՝ նոր նախադասությամբ.</w:t>
      </w:r>
    </w:p>
    <w:p>
      <w:pPr/>
      <w:r>
        <w:rPr/>
        <w:t xml:space="preserve">«9. Հերթական նիստերից զատ Խորհուրդը, ըստ անհրաժեշտության,  բայց ոչ պակաս, քան յուրաքանչյուր  տարին մեկ անգամ գումարում է կոռուպցիայի դեմ պայքարի ոլորտում ներգրավված միջազգային դոնոր կազմակերպությունների հետ համագործակցության համակարգման  նիստ:»:</w:t>
      </w:r>
    </w:p>
    <w:p>
      <w:pPr>
        <w:numPr>
          <w:ilvl w:val="0"/>
          <w:numId w:val="5"/>
        </w:numPr>
      </w:pPr>
      <w:r>
        <w:rPr/>
        <w:t xml:space="preserve">Uույն որոշումն ուժի մեջ է մտնում պաշտոնական հրապարակման օրվան հաջորդող տասներորդ oրը։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ECB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06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C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8C57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2026-04-03T13:06:13+04:00</dcterms:created>
  <dcterms:modified xsi:type="dcterms:W3CDTF">2026-04-03T13:06:13+04:00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