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ԿԵՆՑԱՂԱՅԻՆ ԵՎ ՍԱՆԻՏԱՐԱՀԻԳԻԵՆԻԿ ՆՇԱՆԱԿՈՒԹՅԱՆ ԹՂԹԵ ԵՎ ՔԻՄԻԱԿԱՆ ԹԵԼՔԵՐԻՑ ԱՊՐԱՆՔՆԵՐԻՆ ՆԵՐԿԱՅԱՑՎՈՂ ՊԱՀԱՆՋՆԵՐԻ ՏԵԽՆԻԿԱԿԱՆ ԿԱՆՈՆԱԿԱՐԳԸ ՀԱՍՏԱՏԵԼՈՒ ԵՎ ՀԱՅԱՍՏԱՆԻ ՀԱՆՐԱՊԵՏՈՒԹՅԱՆ ԿԱՌԱՎԱՐՈՒԹՅԱՆ 2006 ԹՎԱԿԱՆԻ ՀՈԿՏԵՄԲԵՐԻ 19-Ի  N 1546-Ն ՈՐՈՇՈՒՄՆ ՈՒԺԸ ԿՈՐՑՐԱԾ ՃԱՆԱՉԵԼՈՒ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N - Ն</w:t>
      </w:r>
    </w:p>
    <w:p>
      <w:pPr>
        <w:jc w:val="center"/>
      </w:pPr>
      <w:r>
        <w:rPr/>
        <w:t xml:space="preserve">ԿԵՆՑԱՂԱՅԻՆ ԵՎ ՍԱՆԻՏԱՐԱՀԻԳԻԵՆԻԿ ՆՇԱՆԱԿՈՒԹՅԱՆ ԹՂԹԵ ԵՎ ՔԻՄԻԱԿԱՆ ԹԵԼՔԵՐԻՑ ԱՊՐԱՆՔՆԵՐԻՆ ՆԵՐԿԱՅԱՑՎՈՂ ՊԱՀԱՆՋՆԵՐԻ ՏԵԽՆԻԿԱԿԱՆ ԿԱՆՈՆԱԿԱՐԳԸ ՀԱՍՏԱՏԵԼՈՒ ԵՎ ՀԱՅԱՍՏԱՆԻ ՀԱՆՐԱՊԵՏՈՒԹՅԱՆ ԿԱՌԱՎԱՐՈՒԹՅԱՆ 2006 ԹՎԱԿԱՆԻ ՀՈԿՏԵՄԲԵՐԻ 19-Ի</w:t>
      </w:r>
    </w:p>
    <w:p>
      <w:pPr>
        <w:jc w:val="center"/>
      </w:pPr>
      <w:r>
        <w:rPr/>
        <w:t xml:space="preserve">N 1546-Ն ՈՐՈՇՈՒՄՆ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Տեխնիկական կանոնակարգման մասին» օրենքի 8-րդ հոդվածի 1-ին մասի 3-րդ կետի «ա» ենթակետը, ինչպես նաև «Նորմատիվ իրավական ակտերի մասին» օրենքի 37-րդ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 կենցաղային և սանիտարահիգիենիկ նշանակության թղթե և քիմիական թելքերից ապրանքներին ներկայացվող պահանջների տեխնիկական կանոնակարգը՝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2006 թվականի հոկտեմբերի 19-ի «Կենցաղային և սանիտարահիգիենիկ նշանակության թղթե և քիմիական թելքերից ապրանքներին ներկայացվող պահանջների տեխնիկական կանոնակարգը հաստատելու մասին» N 1546-Ն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                                                      </w:t>
      </w:r>
    </w:p>
    <w:p>
      <w:pPr>
        <w:jc w:val="end"/>
      </w:pPr>
      <w:r>
        <w:rPr>
          <w:b w:val="1"/>
          <w:bCs w:val="1"/>
        </w:rPr>
        <w:t xml:space="preserve">Հավելված </w:t>
      </w:r>
    </w:p>
    <w:p>
      <w:pPr>
        <w:jc w:val="end"/>
      </w:pPr>
      <w:r>
        <w:rPr>
          <w:b w:val="1"/>
          <w:bCs w:val="1"/>
        </w:rPr>
        <w:t xml:space="preserve">ՀՀ կառավարության 2023 թվականի</w:t>
      </w:r>
    </w:p>
    <w:p>
      <w:pPr>
        <w:jc w:val="end"/>
      </w:pPr>
      <w:r>
        <w:rPr>
          <w:b w:val="1"/>
          <w:bCs w:val="1"/>
        </w:rPr>
        <w:t xml:space="preserve">-ի N -Ն 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Տ Ե Խ Ն Ի Կ Ա Կ Ա Ն  </w:t>
      </w: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Գ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ԿԵՆՑԱՂԱՅԻՆ ԵՎ ՍԱՆԻՏԱՐԱՀԻԳԻԵՆԻԿ ՆՇԱՆԱԿՈՒԹՅԱՆ ԹՂԹԵ ԵՎ ՔԻՄԻԱԿԱՆ ԹԵԼՔԵՐԻՑ ԱՊՐԱՆՔՆԵՐԻՆ ՆԵՐԿԱՅԱՑՎՈՂ ՊԱՀԱՆՋՆԵՐԻ</w:t>
      </w:r>
    </w:p>
    <w:p>
      <w:pPr>
        <w:jc w:val="start"/>
      </w:pPr>
      <w:r>
        <w:rPr>
          <w:b w:val="1"/>
          <w:bCs w:val="1"/>
        </w:rPr>
        <w:t xml:space="preserve">ԿԻՐԱՌՄԱՆ ՈԼՈՐՏԸ</w:t>
      </w:r>
    </w:p>
    <w:p>
      <w:pPr>
        <w:numPr>
          <w:ilvl w:val="0"/>
          <w:numId w:val="3"/>
        </w:numPr>
      </w:pPr>
      <w:r>
        <w:rPr/>
        <w:t xml:space="preserve">Կենցաղային և սանիտարահիգիենիկ նշանակության թղթե և քիմիական թելքերից ապրանքներին ներկայացվող պահանջների տեխնիկական կանոնակարգի (այսուհետ` տեխնիկական կանոնակարգ) գործողությունը տարածվում է թղթե զանգվածից, թղթից, թաղանթանյութի բամբակից կամ թաղանթանյութի թելքերի պաստառից, ինչպես նաև քիմիական թելքերից և այլ մանածագործական նյութերից պատրաստված` արտաքին տնտեսական գործունեության ապրանքային անվանացանկի ծածկագրերին համապատասխան հետևյալ ապրանքների վրա`</w:t>
      </w:r>
    </w:p>
    <w:tbl>
      <w:tblGrid>
        <w:gridCol w:w="7650" w:type="dxa"/>
        <w:gridCol w:w="2070" w:type="dxa"/>
      </w:tblGrid>
      <w:tblPr>
        <w:tblW w:w="9720" w:type="dxa"/>
        <w:tblLayout w:type="autofit"/>
      </w:tblPr>
      <w:tr>
        <w:trPr/>
        <w:tc>
          <w:tcPr>
            <w:tcW w:w="76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զուգարանի թուղթ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4818 10</w:t>
            </w:r>
          </w:p>
        </w:tc>
      </w:tr>
      <w:tr>
        <w:trPr/>
        <w:tc>
          <w:tcPr>
            <w:tcW w:w="76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թաշկինակներ և կոսմետիկ անձեռոցիկներ կամ դեմքի</w:t>
            </w:r>
            <w:br/>
            <w:r>
              <w:rPr/>
              <w:t xml:space="preserve"> անձեռոցիկներ և սրբիչներ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4818 20</w:t>
            </w:r>
          </w:p>
        </w:tc>
      </w:tr>
      <w:tr>
        <w:trPr/>
        <w:tc>
          <w:tcPr>
            <w:tcW w:w="76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սփռոցներ և անձեռոցիկներ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4818 30 000 0</w:t>
            </w:r>
          </w:p>
        </w:tc>
      </w:tr>
      <w:tr>
        <w:trPr/>
        <w:tc>
          <w:tcPr>
            <w:tcW w:w="76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վիրաբուժական, բժշկական կամ հիգիենիկ նպատակներով օգտագործվող՝ չներդրված մանրածախ վաճառքի համար և այլ ապրանքներ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4818 90 900</w:t>
            </w:r>
          </w:p>
        </w:tc>
      </w:tr>
      <w:tr>
        <w:trPr/>
        <w:tc>
          <w:tcPr>
            <w:tcW w:w="7650" w:type="dxa"/>
            <w:noWrap/>
          </w:tcPr>
          <w:p>
            <w:pPr/>
            <w:r>
              <w:rPr/>
              <w:t xml:space="preserve">բամբակ տեքստիլ նյութերից և դրանից ստացված արտադրանքներ; մանածագործական մանրաթելեր, որոնք չեն գերազանցում 5 մմ երկարությունը (բմբուլ), տեքստիլի փոշի և հանգույցներ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5601</w:t>
            </w:r>
          </w:p>
        </w:tc>
      </w:tr>
      <w:tr>
        <w:trPr/>
        <w:tc>
          <w:tcPr>
            <w:tcW w:w="76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650" w:type="dxa"/>
            <w:noWrap/>
          </w:tcPr>
          <w:p>
            <w:pPr/>
            <w:r>
              <w:rPr/>
              <w:t xml:space="preserve">կանացի հիգիենիկ միջադիրներ և վիրախծուծներ (տամպոններ) և համանման իրեր՝ ցանկացած նյութից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9619 00 300 0, 9619 00 400 0, 9619 00 710, 9619 00 750, 9619 00 790, 9619 00 890:</w:t>
            </w:r>
          </w:p>
        </w:tc>
      </w:tr>
    </w:tbl>
    <w:tbl>
      <w:tblGrid>
        <w:gridCol w:w="4500" w:type="dxa"/>
        <w:gridCol w:w="4500" w:type="dxa"/>
      </w:tblGrid>
      <w:tblPr>
        <w:tblW w:w="4500" w:type="pct"/>
        <w:tblLayout w:type="autofit"/>
      </w:tblPr>
      <w:tr>
        <w:trPr/>
        <w:tc>
          <w:tcPr>
            <w:tcW w:w="45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numPr>
          <w:ilvl w:val="0"/>
          <w:numId w:val="4"/>
        </w:numPr>
      </w:pPr>
      <w:r>
        <w:rPr/>
        <w:t xml:space="preserve">Սույն տեխնիկական կանոնակարգով սահմանվում են 1-ին կետում նշված կենցաղային և սանիտարահիգիենիկ նշանակության թղթե և քիմիական թելքերից ապրանքների (այսուհետ` կենցաղային և սանիտարահիգիենիկ նշանակության ապրանքներ) անվտանգությունը բնութագրող ցուցանիշները, դրանց մակնշմանը, փաթեթավորմանը, պահմանը, փոխադրմանը, իրացմանը ներկայացվող պահանջները և համապատասխանության հավաստման ընթացակարգերը։</w:t>
      </w:r>
    </w:p>
    <w:p>
      <w:pPr>
        <w:numPr>
          <w:ilvl w:val="0"/>
          <w:numId w:val="4"/>
        </w:numPr>
      </w:pPr>
      <w:r>
        <w:rPr/>
        <w:t xml:space="preserve">Կենցաղային և սանիտարահիգիենիկ նշանակության ապրանքները ենթակա են համապատասխանության պարտադիր հավաստման։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ՀԱՍԿԱՑՈՒԹՅՈՒՆՆԵՐԸ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Սույն տեխնիկական կանոնակարգում կիրառվում են հետևյալ հասկացությունները`</w:t>
      </w:r>
    </w:p>
    <w:p>
      <w:pPr/>
      <w:r>
        <w:rPr/>
        <w:t xml:space="preserve">1) </w:t>
      </w:r>
      <w:r>
        <w:rPr>
          <w:b w:val="1"/>
          <w:bCs w:val="1"/>
        </w:rPr>
        <w:t xml:space="preserve">անհատական փաթեթվածք`</w:t>
      </w:r>
      <w:r>
        <w:rPr/>
        <w:t xml:space="preserve"> մեկ առանձին միջադիրի, փաթեթավորված փաթեթ,</w:t>
      </w:r>
    </w:p>
    <w:p>
      <w:pPr/>
      <w:r>
        <w:rPr/>
        <w:t xml:space="preserve">2)</w:t>
      </w:r>
      <w:r>
        <w:rPr>
          <w:b w:val="1"/>
          <w:bCs w:val="1"/>
        </w:rPr>
        <w:t xml:space="preserve"> թաղանթանյութ`</w:t>
      </w:r>
      <w:r>
        <w:rPr/>
        <w:t xml:space="preserve"> թելքավոր կիսապատրաստվածք, որն ստացվում է քիմիկատների լուծույթների հետ բուսական հումքի եփման միջոցով, որի արդյունքում հեռացվում է ոչ թաղանթանյութային բաղադրիչների մեծ մասը` լիգնին, կիսաթաղանթանյութ, լուծամզուքային նյութեր,</w:t>
      </w:r>
    </w:p>
    <w:p>
      <w:pPr/>
      <w:r>
        <w:rPr/>
        <w:t xml:space="preserve">3)</w:t>
      </w:r>
      <w:r>
        <w:rPr>
          <w:b w:val="1"/>
          <w:bCs w:val="1"/>
        </w:rPr>
        <w:t xml:space="preserve"> թուղթ`</w:t>
      </w:r>
      <w:r>
        <w:rPr/>
        <w:t xml:space="preserve"> նյութ, որի 1 մ</w:t>
      </w:r>
      <w:r>
        <w:rPr>
          <w:vertAlign w:val="superscript"/>
        </w:rPr>
        <w:t xml:space="preserve">2</w:t>
      </w:r>
      <w:r>
        <w:rPr/>
        <w:t xml:space="preserve"> մակերեսի զանգվածը չի գերազանցում 230 գ-ը, հիմնականում բաղկացած է մակերևութային շաղկապման ուժով իրար կապված բուսական թելքերից և կարող է պարունակել սոսնձապատման նյութեր, հանքային լցանյութեր, քիմիական և բնական թելքեր, պիգմենտներ և ներկանյութեր,</w:t>
      </w:r>
    </w:p>
    <w:p>
      <w:pPr/>
      <w:r>
        <w:rPr/>
        <w:t xml:space="preserve">4)</w:t>
      </w:r>
      <w:r>
        <w:rPr>
          <w:b w:val="1"/>
          <w:bCs w:val="1"/>
        </w:rPr>
        <w:t xml:space="preserve"> կանացի հիգիենիկ միջադիր`</w:t>
      </w:r>
      <w:r>
        <w:rPr/>
        <w:t xml:space="preserve"> մեկանգամյա օգտագործման բազմաշերտ ներծծող ապրանք, որը նախատեսված է կանանց արտաքին արտազատումների ներծծման և պահման համար,</w:t>
      </w:r>
    </w:p>
    <w:p>
      <w:pPr/>
      <w:r>
        <w:rPr/>
        <w:t xml:space="preserve">5)</w:t>
      </w:r>
      <w:r>
        <w:rPr>
          <w:b w:val="1"/>
          <w:bCs w:val="1"/>
        </w:rPr>
        <w:t xml:space="preserve"> հատուկ բաղադրիչ`</w:t>
      </w:r>
      <w:r>
        <w:rPr/>
        <w:t xml:space="preserve"> նյութ, որը նախատեսված է սանիտարահիգիենիկ նշանակության ապրանքներին հիմնական գործառական հատկություններից բացի լրացուցիչ հատկություններով (հակամանրէային, հոտը կլանող և այլն) օժտելու համար: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ՇՈՒԿԱՀԱՆՄԱՆԸ ՆԵՐԿԱՅԱՑՎՈՂ ՊԱՀԱՆՋՆԵՐԸ</w:t>
      </w:r>
    </w:p>
    <w:p>
      <w:pPr/>
      <w:r>
        <w:rPr/>
        <w:t xml:space="preserve">5․ Հայաստանի Հանրապետության տարածքում կենցաղային և սանիտարահիգիենիկ նշանակության ապրանքների իրացման ժամանակ պետք է պահպանվեն համապատասխանության պարտադիր հավաստման ենթակա արտադրանքի նկատմամբ Հայաստանի Հանրապետության օրենսդրությամբ սահմանված պահանջները:</w:t>
      </w:r>
    </w:p>
    <w:p>
      <w:pPr/>
      <w:r>
        <w:rPr/>
        <w:t xml:space="preserve">6․ Հայաստանի Հանրապետության տարածքում համապատասխանության պարտադիր հավաստման ենթակա և շրջանառության մեջ գտնվող կենցաղային և սանիտարահիգիենիկ նշանակության ապրանքները պետք է ուղեկցվեն համապատասխանության նշանի մակնշմամբ համապատասխանության սերտիֆիկատով կամ գրանցված համապատասխանության հայտարարագրով: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ՏԵԽՆԻԿԱԿԱՆ ՊԱՀԱՆՋՆԵՐԸ</w:t>
      </w:r>
    </w:p>
    <w:p>
      <w:pPr/>
      <w:r>
        <w:rPr/>
        <w:t xml:space="preserve">7․ Կենցաղային և սանիտարահիգիենիկ նշանակության ապրանքների պատրաստման համար օգտագործվող թուղթը, թաղանթանյութը, թղթի զանգվածը, թաղանթանյութի բամբակը, մանածագործական նյութերը, պոլիմերային թաղանթները, քիմիական թելքերը, մանածագործական և դրանց հետ խառնվող թղթի և ստվարաթղթի թափոնը, ինչպես նաև ներկանյութերը, բուրավետիչ և (կամ) տարբեր բաղադրիչներով (հականեխիչ, ախտահանիչ, լվացող և այլն) տոգորման նյութերը, տպագրական ներկերը, սոսինձները և կլանող (աբսորբող) նյութերը պետք է թույլատրված լինեն Հայաստանի Հանրապետության առողջապահության նախարարության նորմատիվ իրավական ակտով։</w:t>
      </w:r>
    </w:p>
    <w:p>
      <w:pPr/>
      <w:r>
        <w:rPr/>
        <w:t xml:space="preserve">8․ Կենցաղային և սանիտարահիգիենիկ նշանակության ապրանքների անվտանգության հիգիենիկ ցուցանիշները, այդ թվում` ջրային միջավայր արտազատվող վնասակար նյութերի թույլատրելի քանակությունները պետք է համապատասխանեն N 1 աղյուսակով սահմանված պահանջներին, իսկ կանացի հիգիենիկ միջադիրների, վիրախծուծների (տամպոններ) գործառական ցուցանիշները պետք է համապատասխանեն N 2 աղյուսակով սահմանված պահանջներին: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Աղյուսակ N 1</w:t>
      </w:r>
    </w:p>
    <w:p>
      <w:pPr/>
      <w:r>
        <w:rPr>
          <w:b w:val="1"/>
          <w:bCs w:val="1"/>
        </w:rPr>
        <w:t xml:space="preserve">Կենցաղային և սանիտարահիգիենիկ նշանակության ապրանքների անվտանգության հիգիենիկ ցուցանիշները, այդ թվում` ջրային միջավայր արտազատվող վնասակար նյութերի թույլատրելի քանակությունները</w:t>
      </w:r>
    </w:p>
    <w:tbl>
      <w:tblGrid>
        <w:gridCol w:w="0" w:type="dxa"/>
        <w:gridCol w:w="1020" w:type="dxa"/>
        <w:gridCol w:w="1515" w:type="dxa"/>
        <w:gridCol w:w="225" w:type="dxa"/>
        <w:gridCol w:w="2325" w:type="dxa"/>
        <w:gridCol w:w="2085" w:type="dxa"/>
        <w:gridCol w:w="945" w:type="dxa"/>
        <w:gridCol w:w="1200" w:type="dxa"/>
        <w:gridCol w:w="450" w:type="dxa"/>
        <w:gridCol w:w="1455" w:type="dxa"/>
      </w:tblGrid>
      <w:tblPr>
        <w:tblW w:w="5250" w:type="pct"/>
        <w:tblLayout w:type="autofit"/>
      </w:tblPr>
      <w:tr>
        <w:trPr/>
        <w:tc>
          <w:tcPr>
            <w:tcW w:w="99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05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Ցուցանիշի անվանումը</w:t>
            </w:r>
          </w:p>
        </w:tc>
        <w:tc>
          <w:tcPr>
            <w:tcW w:w="7845" w:type="dxa"/>
            <w:gridSpan w:val="7"/>
            <w:noWrap/>
          </w:tcPr>
          <w:p>
            <w:pPr/>
            <w:r>
              <w:rPr/>
              <w:t xml:space="preserve">Ցուցանիշի արժեքն ըստ արտադրանքի տեսակի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30" w:type="dxa"/>
            <w:gridSpan w:val="2"/>
            <w:noWrap/>
          </w:tcPr>
          <w:p>
            <w:pPr/>
            <w:r>
              <w:rPr/>
              <w:t xml:space="preserve">թղթե անձեռոցիկներ, թաշկինակներ, զուգարանի թուղթ (միաշերտ կամ բազմաշերտ) և այլ թղթե արտադրա-տեսակներ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խոհանոցային թղթե սրբիչներ և սպասքավորման անձեռոցիկներ, սփռոցներ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կանացի հիգիենիկ միջադիրներ, վիրախծուծներ (տամպոններ)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ամեն-օրյա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Կրի</w:t>
            </w:r>
          </w:p>
          <w:p>
            <w:pPr/>
            <w:r>
              <w:rPr/>
              <w:t xml:space="preserve">տիկական օրերի համար</w:t>
            </w:r>
          </w:p>
        </w:tc>
        <w:tc>
          <w:tcPr>
            <w:tcW w:w="1815" w:type="dxa"/>
            <w:gridSpan w:val="2"/>
            <w:noWrap/>
          </w:tcPr>
          <w:p>
            <w:pPr/>
            <w:r>
              <w:rPr/>
              <w:t xml:space="preserve">գիշերային և առատ արտա-զատման դեպքում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430" w:type="dxa"/>
            <w:gridSpan w:val="2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15" w:type="dxa"/>
            <w:gridSpan w:val="2"/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1. Ջրային լուծամզուքի pH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4,5-8,5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ջրային լուծույթի pH-ի փոփոխությունը </w:t>
            </w:r>
            <w:r>
              <w:rPr>
                <w:u w:val="single"/>
              </w:rPr>
              <w:t xml:space="preserve">+</w:t>
            </w:r>
            <w:r>
              <w:rPr/>
              <w:t xml:space="preserve"> 1-ից ոչ ավելի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2. Հիգիենիկ ցուցանիշները`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 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2.1. Ջրային լուծամզուքի`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    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 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արտաքին տեսքը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թափանցիկ հեղուկ` առանց պղտորության, նստվածքի և գունավորման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թափանցիկ հեղուկ` առանց պղտորության և նստվածքի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20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հոտը, բալլ, ոչ ավելի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թթվայնացումը (օրգանական նյութերի ընդհանուր քանակը), մգ O</w:t>
            </w:r>
            <w:r>
              <w:rPr>
                <w:vertAlign w:val="subscript"/>
              </w:rPr>
              <w:t xml:space="preserve">2</w:t>
            </w:r>
            <w:r>
              <w:rPr/>
              <w:t xml:space="preserve">/դմ</w:t>
            </w:r>
            <w:r>
              <w:rPr>
                <w:vertAlign w:val="superscript"/>
              </w:rPr>
              <w:t xml:space="preserve">3</w:t>
            </w:r>
            <w:r>
              <w:rPr/>
              <w:t xml:space="preserve">, ոչ ավելի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-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10,0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2.2. Ջրային միջավայր արտազատվող վնասակար նյութերի քանակությունը, մգ/դմ</w:t>
            </w:r>
            <w:r>
              <w:rPr>
                <w:vertAlign w:val="superscript"/>
              </w:rPr>
              <w:t xml:space="preserve">3</w:t>
            </w:r>
            <w:r>
              <w:rPr/>
              <w:t xml:space="preserve">, ոչ ավելի`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    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 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ֆորմալդեհիդ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0,100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0,100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կապար (Pb)</w:t>
            </w:r>
          </w:p>
        </w:tc>
        <w:tc>
          <w:tcPr>
            <w:tcW w:w="243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0,030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ցինկ (Zn)</w:t>
            </w:r>
          </w:p>
        </w:tc>
        <w:tc>
          <w:tcPr>
            <w:tcW w:w="243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0,100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քրոմ (Cr</w:t>
            </w:r>
            <w:r>
              <w:rPr>
                <w:vertAlign w:val="superscript"/>
              </w:rPr>
              <w:t xml:space="preserve">6</w:t>
            </w:r>
            <w:r>
              <w:rPr/>
              <w:t xml:space="preserve">), </w:t>
            </w:r>
            <w:br/>
            <w:r>
              <w:rPr/>
              <w:t xml:space="preserve"> քրոմ (Cr</w:t>
            </w:r>
            <w:r>
              <w:rPr>
                <w:vertAlign w:val="superscript"/>
              </w:rPr>
              <w:t xml:space="preserve">3</w:t>
            </w:r>
            <w:r>
              <w:rPr/>
              <w:t xml:space="preserve">)</w:t>
            </w:r>
          </w:p>
        </w:tc>
        <w:tc>
          <w:tcPr>
            <w:tcW w:w="243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0,100 (գումարային)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445" w:type="dxa"/>
            <w:gridSpan w:val="7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Գունավորման համար ներկեր </w:t>
            </w:r>
            <w:br/>
            <w:r>
              <w:rPr/>
              <w:t xml:space="preserve"> օգտագործելու դեպքում</w:t>
            </w:r>
          </w:p>
        </w:tc>
        <w:tc>
          <w:tcPr>
            <w:tcW w:w="181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445" w:type="dxa"/>
            <w:gridSpan w:val="7"/>
            <w:noWrap/>
          </w:tcPr>
          <w:p>
            <w:pPr/>
            <w:r>
              <w:rPr/>
              <w:t xml:space="preserve">կապույտ</w:t>
            </w:r>
          </w:p>
        </w:tc>
        <w:tc>
          <w:tcPr>
            <w:tcW w:w="181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կոբալտ (Co)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0,100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 -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75" w:type="dxa"/>
            <w:gridSpan w:val="9"/>
            <w:noWrap/>
          </w:tcPr>
          <w:p>
            <w:pPr/>
            <w:r>
              <w:rPr/>
              <w:t xml:space="preserve">դեղին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քրոմ (Cr</w:t>
            </w:r>
            <w:r>
              <w:rPr>
                <w:vertAlign w:val="superscript"/>
              </w:rPr>
              <w:t xml:space="preserve">6</w:t>
            </w:r>
            <w:r>
              <w:rPr/>
              <w:t xml:space="preserve">), </w:t>
            </w:r>
            <w:br/>
            <w:r>
              <w:rPr/>
              <w:t xml:space="preserve"> քրոմ (Cr</w:t>
            </w:r>
            <w:r>
              <w:rPr>
                <w:vertAlign w:val="superscript"/>
              </w:rPr>
              <w:t xml:space="preserve">3</w:t>
            </w:r>
            <w:r>
              <w:rPr/>
              <w:t xml:space="preserve">)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0,100 (գումարային)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 -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կադմիում (Cd)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0,001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 -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պղինձ (Cu)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1,000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 -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75" w:type="dxa"/>
            <w:gridSpan w:val="9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կարմիր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մանգան (Mn)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0,100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75" w:type="dxa"/>
            <w:gridSpan w:val="9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կանաչ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պղինձ (Cu)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1,000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քրոմ (Cr</w:t>
            </w:r>
            <w:r>
              <w:rPr>
                <w:vertAlign w:val="superscript"/>
              </w:rPr>
              <w:t xml:space="preserve">6</w:t>
            </w:r>
            <w:r>
              <w:rPr/>
              <w:t xml:space="preserve">), </w:t>
            </w:r>
            <w:br/>
            <w:r>
              <w:rPr/>
              <w:t xml:space="preserve"> քրոմ (Cr</w:t>
            </w:r>
            <w:r>
              <w:rPr>
                <w:vertAlign w:val="superscript"/>
              </w:rPr>
              <w:t xml:space="preserve">3</w:t>
            </w:r>
            <w:r>
              <w:rPr/>
              <w:t xml:space="preserve">)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0,100 (գումարային)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մանգան (Mn)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0,100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75" w:type="dxa"/>
            <w:gridSpan w:val="9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սև, վարդագորշա-</w:t>
            </w:r>
            <w:br/>
            <w:r>
              <w:rPr/>
              <w:t xml:space="preserve"> գույն, վարդագույն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կոբալտ (Co)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0,100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պղինձ (Cu)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1,000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75" w:type="dxa"/>
            <w:gridSpan w:val="9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երկնագույն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պղինձ (Cu)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1,000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75" w:type="dxa"/>
            <w:gridSpan w:val="9"/>
            <w:noWrap/>
          </w:tcPr>
          <w:p>
            <w:pPr/>
            <w:r>
              <w:rPr/>
              <w:t xml:space="preserve">գորշագույն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երկաթ (Fe)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0,300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2.3. Ջրային լուծամզուքի թունավորության ցուցիչը, %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70-ից մինչև 120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70-ից մինչև 120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3. Մաշկագրգռիչ ազդեցությունները, բալլ, ոչ ավելի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4. Զգայունացնող ազդեցությունները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Բացակայում են։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5. Մանրէաբանական ցուցանիշները` մանրէազերծված կենցաղային և սանիտարահիգիենիկ նշանակության ապրանքների`</w:t>
            </w:r>
            <w:br/>
            <w:r>
              <w:rPr/>
              <w:t xml:space="preserve"> 5.1. Մեզոֆիլ աերոբ և ֆակուլտատիվ անաերոբ մանրէների ընդհանուր քանակությունը (ՄԱՖԱՄ), ԳԱՄ/գ, ոչ ավելի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1 x 10</w:t>
            </w:r>
            <w:r>
              <w:rPr>
                <w:vertAlign w:val="superscript"/>
              </w:rPr>
              <w:t xml:space="preserve">3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 x 10</w:t>
            </w:r>
            <w:r>
              <w:rPr>
                <w:vertAlign w:val="superscript"/>
              </w:rPr>
              <w:t xml:space="preserve">2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5.2. Էնտերոբակտեր (Enterobacteriaceae) ցեղի մանրէներ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Բացակայում է։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Բացակայում է։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5.3. Ախտածին ստաֆիլակոկեր (Staphylococcus aureus)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Բացակայում է։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Բացակայում է։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5.4. Պսևդոմոնա աերոգինոզա (Pseudomonas aeruginose)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Բացակայում է։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Բացակայում է։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/>
              <w:t xml:space="preserve">5.5. Խմորասնկեր և բորբոսասնկեր</w:t>
            </w:r>
          </w:p>
        </w:tc>
        <w:tc>
          <w:tcPr>
            <w:tcW w:w="4410" w:type="dxa"/>
            <w:gridSpan w:val="3"/>
            <w:noWrap/>
          </w:tcPr>
          <w:p>
            <w:pPr/>
            <w:r>
              <w:rPr/>
              <w:t xml:space="preserve">1 x 10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3435" w:type="dxa"/>
            <w:gridSpan w:val="4"/>
            <w:noWrap/>
          </w:tcPr>
          <w:p>
            <w:pPr/>
            <w:r>
              <w:rPr/>
              <w:t xml:space="preserve">Բացակայում է։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Աղյուսակ N 2</w:t>
      </w:r>
    </w:p>
    <w:p>
      <w:pPr/>
      <w:r>
        <w:rPr>
          <w:b w:val="1"/>
          <w:bCs w:val="1"/>
        </w:rPr>
        <w:t xml:space="preserve">Կանացի հիգիենիկ միջադիրների և վիրախծուծների (տամպոններ) գործառական ցուցանիշները</w:t>
      </w:r>
    </w:p>
    <w:tbl>
      <w:tblGrid>
        <w:gridCol w:w="10500" w:type="dxa"/>
        <w:gridCol w:w="10500" w:type="dxa"/>
        <w:gridCol w:w="10500" w:type="dxa"/>
        <w:gridCol w:w="10500" w:type="dxa"/>
      </w:tblGrid>
      <w:tblPr>
        <w:tblW w:w="10500" w:type="dxa"/>
        <w:tblLayout w:type="autofit"/>
      </w:tblPr>
      <w:tr>
        <w:trPr/>
        <w:tc>
          <w:tcPr>
            <w:tcW w:w="10500" w:type="dxa"/>
            <w:noWrap/>
          </w:tcPr>
          <w:p>
            <w:pPr/>
            <w:r>
              <w:rPr>
                <w:b w:val="1"/>
                <w:bCs w:val="1"/>
              </w:rPr>
              <w:t xml:space="preserve">Արտադրանքի տեսակը</w:t>
            </w:r>
          </w:p>
        </w:tc>
        <w:tc>
          <w:tcPr>
            <w:tcW w:w="1050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Ցուցանիշի անվանումը և նորմը</w:t>
            </w:r>
          </w:p>
        </w:tc>
      </w:tr>
      <w:tr>
        <w:trPr/>
        <w:tc>
          <w:tcPr>
            <w:tcW w:w="10500" w:type="dxa"/>
            <w:noWrap/>
          </w:tcPr>
          <w:p>
            <w:pPr/>
            <w:r>
              <w:rPr>
                <w:b w:val="1"/>
                <w:bCs w:val="1"/>
              </w:rPr>
              <w:t xml:space="preserve">լրիվ խոնավա-</w:t>
            </w:r>
            <w:br/>
            <w:r>
              <w:rPr>
                <w:b w:val="1"/>
                <w:bCs w:val="1"/>
              </w:rPr>
              <w:t xml:space="preserve"> կլանումը, գ,</w:t>
            </w:r>
            <w:br/>
            <w:r>
              <w:rPr>
                <w:b w:val="1"/>
                <w:bCs w:val="1"/>
              </w:rPr>
              <w:t xml:space="preserve"> ոչ պակաս</w:t>
            </w:r>
          </w:p>
        </w:tc>
        <w:tc>
          <w:tcPr>
            <w:tcW w:w="10500" w:type="dxa"/>
            <w:noWrap/>
          </w:tcPr>
          <w:p>
            <w:pPr/>
            <w:r>
              <w:rPr>
                <w:b w:val="1"/>
                <w:bCs w:val="1"/>
              </w:rPr>
              <w:t xml:space="preserve">ներծծման</w:t>
            </w:r>
            <w:br/>
            <w:r>
              <w:rPr>
                <w:b w:val="1"/>
                <w:bCs w:val="1"/>
              </w:rPr>
              <w:t xml:space="preserve"> ժամանակը, վ,</w:t>
            </w:r>
            <w:br/>
            <w:r>
              <w:rPr>
                <w:b w:val="1"/>
                <w:bCs w:val="1"/>
              </w:rPr>
              <w:t xml:space="preserve"> ոչ ավելի</w:t>
            </w:r>
          </w:p>
        </w:tc>
        <w:tc>
          <w:tcPr>
            <w:tcW w:w="10500" w:type="dxa"/>
            <w:noWrap/>
          </w:tcPr>
          <w:p>
            <w:pPr/>
            <w:r>
              <w:rPr>
                <w:b w:val="1"/>
                <w:bCs w:val="1"/>
              </w:rPr>
              <w:t xml:space="preserve">հակադարձ</w:t>
            </w:r>
            <w:br/>
            <w:r>
              <w:rPr>
                <w:b w:val="1"/>
                <w:bCs w:val="1"/>
              </w:rPr>
              <w:t xml:space="preserve"> մակակլանումը, գ</w:t>
            </w:r>
          </w:p>
        </w:tc>
      </w:tr>
      <w:tr>
        <w:trPr/>
        <w:tc>
          <w:tcPr>
            <w:tcW w:w="10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500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10500" w:type="dxa"/>
            <w:gridSpan w:val="4"/>
            <w:noWrap/>
          </w:tcPr>
          <w:p>
            <w:pPr/>
            <w:r>
              <w:rPr/>
              <w:t xml:space="preserve">Կանացի հիգիենիկ միջադիրներ, վիրախծուծներ (տամպոններ)</w:t>
            </w:r>
          </w:p>
        </w:tc>
      </w:tr>
      <w:tr>
        <w:trPr/>
        <w:tc>
          <w:tcPr>
            <w:tcW w:w="10500" w:type="dxa"/>
            <w:noWrap/>
          </w:tcPr>
          <w:p>
            <w:pPr/>
            <w:r>
              <w:rPr/>
              <w:t xml:space="preserve">Ամենօրյա`</w:t>
            </w:r>
            <w:br/>
            <w:r>
              <w:rPr/>
              <w:t xml:space="preserve"> </w:t>
            </w:r>
            <w:br/>
            <w:r>
              <w:rPr/>
              <w:t xml:space="preserve"> 1-ին դասի</w:t>
            </w:r>
            <w:br/>
            <w:r>
              <w:rPr/>
              <w:t xml:space="preserve"> 2-րդ դասի</w:t>
            </w:r>
            <w:br/>
            <w:r>
              <w:rPr/>
              <w:t xml:space="preserve"> Կրիտիկական օրերի համար`</w:t>
            </w:r>
            <w:br/>
            <w:r>
              <w:rPr/>
              <w:t xml:space="preserve"> 1-ին դասի`</w:t>
            </w:r>
            <w:br/>
            <w:r>
              <w:rPr/>
              <w:t xml:space="preserve"> միջին խոնավակլանմամբ</w:t>
            </w:r>
            <w:br/>
            <w:r>
              <w:rPr/>
              <w:t xml:space="preserve"> բարձր խոնավակլանմամբ</w:t>
            </w:r>
            <w:br/>
            <w:r>
              <w:rPr/>
              <w:t xml:space="preserve"> 2-րդ դասի`</w:t>
            </w:r>
            <w:br/>
            <w:r>
              <w:rPr/>
              <w:t xml:space="preserve"> միջին խոնավակլանմամբ</w:t>
            </w:r>
            <w:br/>
            <w:r>
              <w:rPr/>
              <w:t xml:space="preserve"> բարձր խոնավակլանմամբ </w:t>
            </w:r>
          </w:p>
        </w:tc>
        <w:tc>
          <w:tcPr>
            <w:tcW w:w="10500" w:type="dxa"/>
            <w:noWrap/>
          </w:tcPr>
          <w:p>
            <w:pPr/>
            <w:br/>
            <w:r>
              <w:rPr/>
              <w:t xml:space="preserve"> </w:t>
            </w:r>
            <w:br/>
            <w:r>
              <w:rPr/>
              <w:t xml:space="preserve"> 8,5</w:t>
            </w:r>
            <w:br/>
            <w:r>
              <w:rPr/>
              <w:t xml:space="preserve"> 4,0</w:t>
            </w:r>
            <w:br/>
            <w:r>
              <w:rPr/>
              <w:t xml:space="preserve"> </w:t>
            </w:r>
            <w:br/>
            <w:r>
              <w:rPr/>
              <w:t xml:space="preserve"> </w:t>
            </w:r>
            <w:br/>
            <w:r>
              <w:rPr/>
              <w:t xml:space="preserve"> 50,0</w:t>
            </w:r>
            <w:br/>
            <w:r>
              <w:rPr/>
              <w:t xml:space="preserve"> 55,0</w:t>
            </w:r>
            <w:br/>
            <w:r>
              <w:rPr/>
              <w:t xml:space="preserve"> </w:t>
            </w:r>
            <w:br/>
            <w:r>
              <w:rPr/>
              <w:t xml:space="preserve"> 44,0</w:t>
            </w:r>
            <w:br/>
            <w:r>
              <w:rPr/>
              <w:t xml:space="preserve"> 47,0</w:t>
            </w:r>
          </w:p>
        </w:tc>
        <w:tc>
          <w:tcPr>
            <w:tcW w:w="10500" w:type="dxa"/>
            <w:noWrap/>
          </w:tcPr>
          <w:p>
            <w:pPr/>
            <w:br/>
            <w:r>
              <w:rPr/>
              <w:t xml:space="preserve"> </w:t>
            </w:r>
            <w:br/>
            <w:r>
              <w:rPr/>
              <w:t xml:space="preserve"> -</w:t>
            </w:r>
            <w:br/>
            <w:r>
              <w:rPr/>
              <w:t xml:space="preserve"> -</w:t>
            </w:r>
            <w:br/>
            <w:r>
              <w:rPr/>
              <w:t xml:space="preserve"> </w:t>
            </w:r>
            <w:br/>
            <w:r>
              <w:rPr/>
              <w:t xml:space="preserve"> </w:t>
            </w:r>
            <w:br/>
            <w:r>
              <w:rPr/>
              <w:t xml:space="preserve"> 7,0</w:t>
            </w:r>
            <w:br/>
            <w:r>
              <w:rPr/>
              <w:t xml:space="preserve"> 6,0</w:t>
            </w:r>
            <w:br/>
            <w:r>
              <w:rPr/>
              <w:t xml:space="preserve"> </w:t>
            </w:r>
            <w:br/>
            <w:r>
              <w:rPr/>
              <w:t xml:space="preserve"> 7,0</w:t>
            </w:r>
            <w:br/>
            <w:r>
              <w:rPr/>
              <w:t xml:space="preserve"> 7,0</w:t>
            </w:r>
          </w:p>
        </w:tc>
        <w:tc>
          <w:tcPr>
            <w:tcW w:w="10500" w:type="dxa"/>
            <w:noWrap/>
          </w:tcPr>
          <w:p>
            <w:pPr/>
            <w:br/>
            <w:r>
              <w:rPr/>
              <w:t xml:space="preserve"> </w:t>
            </w:r>
            <w:br/>
            <w:r>
              <w:rPr/>
              <w:t xml:space="preserve"> -</w:t>
            </w:r>
            <w:br/>
            <w:r>
              <w:rPr/>
              <w:t xml:space="preserve"> -</w:t>
            </w:r>
            <w:br/>
            <w:r>
              <w:rPr/>
              <w:t xml:space="preserve"> </w:t>
            </w:r>
            <w:br/>
            <w:r>
              <w:rPr/>
              <w:t xml:space="preserve"> </w:t>
            </w:r>
            <w:br/>
            <w:r>
              <w:rPr/>
              <w:t xml:space="preserve"> -</w:t>
            </w:r>
            <w:br/>
            <w:r>
              <w:rPr/>
              <w:t xml:space="preserve"> -</w:t>
            </w:r>
            <w:br/>
            <w:r>
              <w:rPr/>
              <w:t xml:space="preserve"> </w:t>
            </w:r>
            <w:br/>
            <w:r>
              <w:rPr/>
              <w:t xml:space="preserve"> -</w:t>
            </w:r>
            <w:br/>
            <w:r>
              <w:rPr/>
              <w:t xml:space="preserve"> -</w:t>
            </w:r>
          </w:p>
        </w:tc>
      </w:tr>
      <w:tr>
        <w:trPr/>
        <w:tc>
          <w:tcPr>
            <w:tcW w:w="10500" w:type="dxa"/>
            <w:noWrap/>
          </w:tcPr>
          <w:p>
            <w:pPr/>
            <w:r>
              <w:rPr/>
              <w:t xml:space="preserve">Գիշերային և առատ </w:t>
            </w:r>
            <w:br/>
            <w:r>
              <w:rPr/>
              <w:t xml:space="preserve"> արտազատման դեպքում`</w:t>
            </w:r>
            <w:br/>
            <w:r>
              <w:rPr/>
              <w:t xml:space="preserve"> 1-ին դասի`</w:t>
            </w:r>
            <w:br/>
            <w:r>
              <w:rPr/>
              <w:t xml:space="preserve"> միջին խոնավակլանմամբ</w:t>
            </w:r>
            <w:br/>
            <w:r>
              <w:rPr/>
              <w:t xml:space="preserve"> բարձր խոնավակլանմամբ</w:t>
            </w:r>
            <w:br/>
            <w:r>
              <w:rPr/>
              <w:t xml:space="preserve"> 2-րդ դասի`</w:t>
            </w:r>
            <w:br/>
            <w:r>
              <w:rPr/>
              <w:t xml:space="preserve"> միջին խոնավակլանմամբ</w:t>
            </w:r>
          </w:p>
        </w:tc>
        <w:tc>
          <w:tcPr>
            <w:tcW w:w="10500" w:type="dxa"/>
            <w:noWrap/>
          </w:tcPr>
          <w:p>
            <w:pPr/>
            <w:br/>
            <w:r>
              <w:rPr/>
              <w:t xml:space="preserve"> </w:t>
            </w:r>
            <w:br/>
            <w:r>
              <w:rPr/>
              <w:t xml:space="preserve"> </w:t>
            </w:r>
            <w:br/>
            <w:r>
              <w:rPr/>
              <w:t xml:space="preserve"> 65,0</w:t>
            </w:r>
            <w:br/>
            <w:r>
              <w:rPr/>
              <w:t xml:space="preserve"> 70,0</w:t>
            </w:r>
            <w:br/>
            <w:r>
              <w:rPr/>
              <w:t xml:space="preserve"> </w:t>
            </w:r>
            <w:br/>
            <w:r>
              <w:rPr/>
              <w:t xml:space="preserve"> 60,0</w:t>
            </w:r>
          </w:p>
        </w:tc>
        <w:tc>
          <w:tcPr>
            <w:tcW w:w="10500" w:type="dxa"/>
            <w:noWrap/>
          </w:tcPr>
          <w:p>
            <w:pPr/>
            <w:br/>
            <w:r>
              <w:rPr/>
              <w:t xml:space="preserve"> </w:t>
            </w:r>
            <w:br/>
            <w:r>
              <w:rPr/>
              <w:t xml:space="preserve"> </w:t>
            </w:r>
            <w:br/>
            <w:r>
              <w:rPr/>
              <w:t xml:space="preserve"> 7,0</w:t>
            </w:r>
            <w:br/>
            <w:r>
              <w:rPr/>
              <w:t xml:space="preserve"> 6,0</w:t>
            </w:r>
            <w:br/>
            <w:r>
              <w:rPr/>
              <w:t xml:space="preserve"> </w:t>
            </w:r>
            <w:br/>
            <w:r>
              <w:rPr/>
              <w:t xml:space="preserve"> 7,0</w:t>
            </w:r>
          </w:p>
        </w:tc>
        <w:tc>
          <w:tcPr>
            <w:tcW w:w="10500" w:type="dxa"/>
            <w:noWrap/>
          </w:tcPr>
          <w:p>
            <w:pPr/>
            <w:br/>
            <w:r>
              <w:rPr/>
              <w:t xml:space="preserve"> </w:t>
            </w:r>
            <w:br/>
            <w:r>
              <w:rPr/>
              <w:t xml:space="preserve"> </w:t>
            </w:r>
            <w:br/>
            <w:r>
              <w:rPr/>
              <w:t xml:space="preserve"> -</w:t>
            </w:r>
            <w:br/>
            <w:r>
              <w:rPr/>
              <w:t xml:space="preserve"> -</w:t>
            </w:r>
            <w:br/>
            <w:r>
              <w:rPr/>
              <w:t xml:space="preserve"> -</w:t>
            </w:r>
          </w:p>
        </w:tc>
      </w:tr>
    </w:tbl>
    <w:p>
      <w:pPr/>
      <w:r>
        <w:rPr>
          <w:b w:val="1"/>
          <w:bCs w:val="1"/>
        </w:rPr>
        <w:t xml:space="preserve">Կենցաղային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սանիտարահիգիենիկ</w:t>
      </w:r>
      <w:r>
        <w:rPr/>
        <w:t xml:space="preserve"> </w:t>
      </w:r>
      <w:r>
        <w:rPr>
          <w:b w:val="1"/>
          <w:bCs w:val="1"/>
        </w:rPr>
        <w:t xml:space="preserve">նշանակության</w:t>
      </w:r>
      <w:r>
        <w:rPr/>
        <w:t xml:space="preserve"> </w:t>
      </w:r>
      <w:r>
        <w:rPr>
          <w:b w:val="1"/>
          <w:bCs w:val="1"/>
        </w:rPr>
        <w:t xml:space="preserve">ապրանքների</w:t>
      </w:r>
      <w:r>
        <w:rPr/>
        <w:t xml:space="preserve"> </w:t>
      </w:r>
      <w:r>
        <w:rPr>
          <w:b w:val="1"/>
          <w:bCs w:val="1"/>
        </w:rPr>
        <w:t xml:space="preserve">մակնշումը</w:t>
      </w:r>
    </w:p>
    <w:p>
      <w:pPr>
        <w:numPr>
          <w:ilvl w:val="0"/>
          <w:numId w:val="6"/>
        </w:numPr>
      </w:pPr>
      <w:r>
        <w:rPr/>
        <w:t xml:space="preserve">Կենցաղային և սանիտարահիգիենիկ նշանակության ապրանքների յուրաքանչյուր միավորի փաթեթվածքի կամ փաթեթվածքի և (կամ) դրան ամրացված պիտակի վրա պետք է լինեն հետևյալ մակնշվածքը`</w:t>
      </w:r>
    </w:p>
    <w:p>
      <w:pPr/>
      <w:r>
        <w:rPr/>
        <w:t xml:space="preserve">ա) արտադրանքի անվանումը, մակնիշը (առկայության դեպքում),</w:t>
      </w:r>
    </w:p>
    <w:p>
      <w:pPr/>
      <w:r>
        <w:rPr/>
        <w:t xml:space="preserve">բ) արտադրող երկրի անվանումը,</w:t>
      </w:r>
    </w:p>
    <w:p>
      <w:pPr/>
      <w:r>
        <w:rPr/>
        <w:t xml:space="preserve">գ) արտադրող կազմակերպության անվանումը, գտնվելու վայրը,</w:t>
      </w:r>
    </w:p>
    <w:p>
      <w:pPr/>
      <w:r>
        <w:rPr/>
        <w:t xml:space="preserve">դ) կանացի հիգիենիկ միջադիրների և վիրախծուծների համար` տեխնիկական կառուցվածքի տարբերակիչ բնութագրերը,</w:t>
      </w:r>
    </w:p>
    <w:p>
      <w:pPr/>
      <w:r>
        <w:rPr/>
        <w:t xml:space="preserve">ե) արտադրանքի անվանական չափերը (գլանափաթեթի երկարությունը և լայնությունը, թերթի չափերը կամ մակերեսը),</w:t>
      </w:r>
    </w:p>
    <w:p>
      <w:pPr/>
      <w:r>
        <w:rPr/>
        <w:t xml:space="preserve">զ) տեղեկատվություն հատուկ բաղադրիչների առկայության մասին (կանացի հիգիենիկ միջադիրների համար),</w:t>
      </w:r>
    </w:p>
    <w:p>
      <w:pPr/>
      <w:r>
        <w:rPr/>
        <w:t xml:space="preserve">է) փաթեթվածքում ապրանքների քանակը,</w:t>
      </w:r>
    </w:p>
    <w:p>
      <w:pPr/>
      <w:r>
        <w:rPr/>
        <w:t xml:space="preserve">ը) պատրաստման ամիսը, տարեթիվը, իսկ մանրէազերծված կենցաղային և սանիտարահիգիենիկ նշանակության ապրանքների համար` մանրէազերծման օրը, ամիսը, տարեթիվը,</w:t>
      </w:r>
    </w:p>
    <w:p>
      <w:pPr/>
      <w:r>
        <w:rPr/>
        <w:t xml:space="preserve">թ) «Կոյուղի չնետել» բառերը (կանացի հիգիենիկ միջադիրների համար),</w:t>
      </w:r>
    </w:p>
    <w:p>
      <w:pPr/>
      <w:r>
        <w:rPr/>
        <w:t xml:space="preserve">ժ) տոգորող լուծույթի կամ պատվածքի (առկայության դեպքում) բաղադրությունը,</w:t>
      </w:r>
    </w:p>
    <w:p>
      <w:pPr/>
      <w:r>
        <w:rPr/>
        <w:t xml:space="preserve">ի) օգտագործման ցուցումները (անհրաժեշտության դեպքում),</w:t>
      </w:r>
    </w:p>
    <w:p>
      <w:pPr/>
      <w:r>
        <w:rPr/>
        <w:t xml:space="preserve">լ) մանրէազերծված կենցաղային և սանիտարահիգիենիկ նշանակության ապրանքների համար լրացուցիչ պետք է նշել «Չօգտագործել անհատական փաթեթվածքի խախտման դեպքում» բառերը, իսկ ճառագայթումային մեթոդով մանրէազերծման դեպքում` «Մանրէազերծված է ճառագայթումային մեթոդով» բառերը,</w:t>
      </w:r>
    </w:p>
    <w:p>
      <w:pPr/>
      <w:r>
        <w:rPr/>
        <w:t xml:space="preserve">խ) կանացի հիգիենիկ միջադիրների համար լրացուցիչ կարող են նշված լինել N 3 աղյուսակով սահմանված խոնավակլանման գրաֆիկական պայմանական նշանները:</w:t>
      </w:r>
    </w:p>
    <w:p>
      <w:pPr/>
      <w:r>
        <w:rPr>
          <w:b w:val="1"/>
          <w:bCs w:val="1"/>
        </w:rPr>
        <w:t xml:space="preserve">Աղյուսակ N 3</w:t>
      </w:r>
    </w:p>
    <w:p>
      <w:pPr/>
      <w:r>
        <w:rPr>
          <w:b w:val="1"/>
          <w:bCs w:val="1"/>
        </w:rPr>
        <w:t xml:space="preserve">Կանացի հիգիենիկ միջադիրների խոնավակլանման գրաֆիկական պայմանական նշանները</w:t>
      </w:r>
    </w:p>
    <w:tbl>
      <w:tblGrid>
        <w:gridCol w:w="4860" w:type="dxa"/>
        <w:gridCol w:w="4860" w:type="dxa"/>
      </w:tblGrid>
      <w:tblPr>
        <w:tblW w:w="0" w:type="auto"/>
        <w:tblLayout w:type="autofit"/>
      </w:tblPr>
      <w:tr>
        <w:trPr/>
        <w:tc>
          <w:tcPr>
            <w:tcW w:w="4860" w:type="dxa"/>
            <w:noWrap/>
          </w:tcPr>
          <w:p>
            <w:pPr/>
            <w:r>
              <w:rPr>
                <w:b w:val="1"/>
                <w:bCs w:val="1"/>
              </w:rPr>
              <w:t xml:space="preserve">Միջադիր</w:t>
            </w:r>
            <w:r>
              <w:rPr>
                <w:b w:val="1"/>
                <w:bCs w:val="1"/>
              </w:rPr>
              <w:t xml:space="preserve">ի տեսակը</w:t>
            </w:r>
          </w:p>
        </w:tc>
        <w:tc>
          <w:tcPr>
            <w:tcW w:w="4860" w:type="dxa"/>
            <w:noWrap/>
          </w:tcPr>
          <w:p>
            <w:pPr/>
            <w:r>
              <w:rPr>
                <w:b w:val="1"/>
                <w:bCs w:val="1"/>
              </w:rPr>
              <w:t xml:space="preserve">Խոնավակլանման գրաֆիկական պայմանական նշանը</w:t>
            </w:r>
          </w:p>
        </w:tc>
      </w:tr>
      <w:tr>
        <w:trPr/>
        <w:tc>
          <w:tcPr>
            <w:tcW w:w="4860" w:type="dxa"/>
            <w:noWrap/>
          </w:tcPr>
          <w:p>
            <w:pPr/>
            <w:r>
              <w:rPr/>
              <w:t xml:space="preserve">Ամենօրյա`</w:t>
            </w:r>
            <w:br/>
            <w:r>
              <w:rPr/>
              <w:t xml:space="preserve"> 1-ին դասի</w:t>
            </w:r>
            <w:br/>
            <w:r>
              <w:rPr/>
              <w:t xml:space="preserve"> 2-րդ դասի</w:t>
            </w:r>
          </w:p>
        </w:tc>
        <w:tc>
          <w:tcPr>
            <w:tcW w:w="486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860" w:type="dxa"/>
            <w:noWrap/>
          </w:tcPr>
          <w:p>
            <w:pPr/>
            <w:r>
              <w:rPr/>
              <w:t xml:space="preserve">Կրիտիկական օրերի`</w:t>
            </w:r>
            <w:br/>
            <w:r>
              <w:rPr/>
              <w:t xml:space="preserve"> 1-ին դասի` բարձր խոնավակլանմամբ</w:t>
            </w:r>
            <w:br/>
            <w:r>
              <w:rPr/>
              <w:t xml:space="preserve"> 2-րդ դասի` բարձր խոնավակլանմամբ </w:t>
            </w:r>
          </w:p>
          <w:p>
            <w:pPr/>
            <w:r>
              <w:rPr/>
              <w:t xml:space="preserve">1-ին դասի` միջին խոնավակլանմամբ</w:t>
            </w:r>
          </w:p>
          <w:p>
            <w:pPr/>
            <w:r>
              <w:rPr/>
              <w:t xml:space="preserve">2-րդ դասի` միջին խոնավակլանմամբ</w:t>
            </w:r>
          </w:p>
        </w:tc>
        <w:tc>
          <w:tcPr>
            <w:tcW w:w="486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4860" w:type="dxa"/>
            <w:noWrap/>
          </w:tcPr>
          <w:p>
            <w:pPr/>
            <w:r>
              <w:rPr/>
              <w:t xml:space="preserve">Գիշերային`</w:t>
            </w:r>
            <w:br/>
            <w:r>
              <w:rPr/>
              <w:t xml:space="preserve"> 1-ին դասի` բարձր խոնավակլանմամբ</w:t>
            </w:r>
            <w:br/>
            <w:r>
              <w:rPr/>
              <w:t xml:space="preserve"> 1-ին դասի` միջին խոնավակլանմամբ</w:t>
            </w:r>
          </w:p>
          <w:p>
            <w:pPr/>
            <w:r>
              <w:rPr/>
              <w:t xml:space="preserve">2-րդ դասի` միջին խոնավակլանմամբ</w:t>
            </w:r>
          </w:p>
        </w:tc>
        <w:tc>
          <w:tcPr>
            <w:tcW w:w="486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Մակնշվածքըպետք է լինի հստակ, պարզ և ընթեռնելի:</w:t>
      </w:r>
    </w:p>
    <w:p>
      <w:pPr>
        <w:numPr>
          <w:ilvl w:val="0"/>
          <w:numId w:val="7"/>
        </w:numPr>
      </w:pPr>
      <w:r>
        <w:rPr/>
        <w:t xml:space="preserve">Արտադրողը, մատակարարը կամ նրա լիազոր ներկայացուցիչը պետք է ապահովի Հայաստանի Հանրապետությունում իրացվող` Հայաստանի Հանրապետությունում արտադրվող և ներմուծվող կենցաղային և սանիտարահիգիենիկ նշանակության ապրանքների մասին սույն տեխնիկական կանոնակարգի 9-րդ կետով սահմանված տեղեկատվության տրամադրումն սպառողին` հայերենով։</w:t>
      </w:r>
    </w:p>
    <w:p>
      <w:pPr>
        <w:numPr>
          <w:ilvl w:val="0"/>
          <w:numId w:val="7"/>
        </w:numPr>
      </w:pPr>
      <w:r>
        <w:rPr/>
        <w:t xml:space="preserve">Փոխադրական տարայի մակնշվածքը պետք է պարունակի «Կեռերով չվերցնել», «Պահպանել խոնավությունից» վարվելակարգային նշանները: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Կենցաղային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սանիտարահիգիենիկ</w:t>
      </w:r>
      <w:r>
        <w:rPr/>
        <w:t xml:space="preserve"> </w:t>
      </w:r>
      <w:r>
        <w:rPr>
          <w:b w:val="1"/>
          <w:bCs w:val="1"/>
        </w:rPr>
        <w:t xml:space="preserve">նշանակության</w:t>
      </w:r>
      <w:r>
        <w:rPr/>
        <w:t xml:space="preserve"> </w:t>
      </w:r>
      <w:r>
        <w:rPr>
          <w:b w:val="1"/>
          <w:bCs w:val="1"/>
        </w:rPr>
        <w:t xml:space="preserve">ապրանքների</w:t>
      </w:r>
      <w:r>
        <w:rPr/>
        <w:t xml:space="preserve"> </w:t>
      </w:r>
      <w:r>
        <w:rPr>
          <w:b w:val="1"/>
          <w:bCs w:val="1"/>
        </w:rPr>
        <w:t xml:space="preserve">փաթեթավորումը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փոխադրումը, </w:t>
      </w:r>
      <w:r>
        <w:rPr>
          <w:b w:val="1"/>
          <w:bCs w:val="1"/>
        </w:rPr>
        <w:t xml:space="preserve">ԻՐԱՑՈՒՄԸ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ԵՎ պահումը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Կենցաղային և սանիտարահիգիենիկ նշանակության ապրանքները պետք է փաթեթավորել թղթով, պոլիմերային թաղանթով կամ փաթեթավորման այլ նյութերով, որոնք կապահովեն դրանց պահպանվածությունը և սույն տեխնիկական կանոնակարգով սահմանված պահանջների պահպանումը` փոխադրման և պահման ընթացքում:</w:t>
      </w:r>
    </w:p>
    <w:p>
      <w:pPr>
        <w:numPr>
          <w:ilvl w:val="0"/>
          <w:numId w:val="8"/>
        </w:numPr>
      </w:pPr>
      <w:r>
        <w:rPr/>
        <w:t xml:space="preserve">Տոգորման նյութերով մշակված կենցաղային և սանիտարահիգիենիկ նշանակության ապրանքները պետք է փաթեթավորել փոխադրման, իրացման և պահման ժամանակ գործառական հատկությունների պահպանվածությունն ապահովող հերմետիկ փաթեթվածքով:</w:t>
      </w:r>
    </w:p>
    <w:p>
      <w:pPr>
        <w:numPr>
          <w:ilvl w:val="0"/>
          <w:numId w:val="8"/>
        </w:numPr>
      </w:pPr>
      <w:r>
        <w:rPr/>
        <w:t xml:space="preserve">Մանրէազերծված յուրաքանչյուր կանացի հիգիենիկ միջադիրի և վիրախծուծի հերմետիկ փաթեթավորման նյութերը պետք է թույլատրված լինեն Հայաստանի Հանրապետության առողջապահության նախարարության նորմատիվ իրավական ակտով:</w:t>
      </w:r>
    </w:p>
    <w:p>
      <w:pPr>
        <w:numPr>
          <w:ilvl w:val="0"/>
          <w:numId w:val="8"/>
        </w:numPr>
      </w:pPr>
      <w:r>
        <w:rPr/>
        <w:t xml:space="preserve">Նույն խմբային փաթեթվածքում պետք է փաթեթավորել նույն անվանմամբ, չափերով, տեխնիկական և գեղազարդային նույն կառուցվածքով կենցաղային և սանիտարահիգիենիկ նշանակության ապրանքներ:</w:t>
      </w:r>
    </w:p>
    <w:p>
      <w:pPr>
        <w:numPr>
          <w:ilvl w:val="0"/>
          <w:numId w:val="8"/>
        </w:numPr>
      </w:pPr>
      <w:r>
        <w:rPr/>
        <w:t xml:space="preserve">Կենցաղային և սանիտարահիգիենիկ նշանակության ապրանքներով փաթեթվածքների փոխադրումը պետք է իրականացնել փոխադրական տարաներում փաթեթավորված` փակ տեսակի տրանսպորտային միջոցներով:</w:t>
      </w:r>
    </w:p>
    <w:p>
      <w:pPr>
        <w:numPr>
          <w:ilvl w:val="0"/>
          <w:numId w:val="8"/>
        </w:numPr>
      </w:pPr>
      <w:r>
        <w:rPr/>
        <w:t xml:space="preserve">Կենցաղային և սանիտարահիգիենիկ նշանակության ապրանքները պետք է պահել փակ, մթնոլորտային տեղումներից, խոնավությունից պաշտպանված տարածքներում և փոխադրման, իրացման ժամանակ ապահովել պաշտպանվածությունը մթնոլորտային տեղումներից և խոնավությունից: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ՀԱՄԱՊԱՏԱՍԽԱՆՈՒԹՅԱՆ ՀԱՎԱՍՏՄԱՆ ԸՆԹԱՑԱԿԱՐԳԵՐԸ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Սույն տեխնիկական կանոնակարգի պահանջներին կենցաղային և սանիտարահիգիենիկ նշանակության ապրանքների խմբաքանակի կամ սերիական արտադրության համար համապատասխանությունը հավաստելու համար հայտատուն`</w:t>
      </w:r>
    </w:p>
    <w:p>
      <w:pPr/>
      <w:r>
        <w:rPr/>
        <w:t xml:space="preserve">1) պետք է կիրառի Հայաստանի Հանրապետության կառավարության 2014 թվականի հունվարի 16-ի N 56-Ն որոշմամբ սահմանված սերտիֆիկացման կամ հայտարարագրման ընթացակարգերը խմբաքանակի կամ սերիական արտադրության համար.</w:t>
      </w:r>
    </w:p>
    <w:p>
      <w:pPr/>
      <w:r>
        <w:rPr/>
        <w:t xml:space="preserve">2) պետք է դնի Հայաստանի Հանրապետության կառավարության 2013 թվականի մարտի 14-ի N 337-Ն որոշմամբ սահմանված համապատասխանության ազգային նշանը կենցաղային և սանիտարահիգիենիկ նշանակության ապրանքների փաթեթվածքի կամ դրանց փակցված պիտակների վրա:</w:t>
      </w:r>
    </w:p>
    <w:p>
      <w:pPr>
        <w:numPr>
          <w:ilvl w:val="0"/>
          <w:numId w:val="10"/>
        </w:numPr>
      </w:pPr>
      <w:r>
        <w:rPr/>
        <w:t xml:space="preserve">Սերտիֆիկացում իրականացրած համապատասխանության գնահատման նշանակված մարմինը փորձարկումներ կատարելու նպատակով կենցաղային և սանիտարահիգիենիկ նշանակության ապրանքների նմուշների ընտրությունն իրականացնում է արտադրողի, մատակարարի կամ նրա լիազոր ներկայացուցչի մասնակցությամբ, տվյալ խմբաքանակից պատահական ընտրման մեթոդով ընտրելով 1%-ի չափով, բայց 1 հատից ոչ պակաս փաթեթավորված միավոր (արկղ, կապոց, պարկ և այլն), որից էլ փորձարկումների կատարման համար ընտրում են`</w:t>
      </w:r>
    </w:p>
    <w:p>
      <w:pPr/>
      <w:r>
        <w:rPr/>
        <w:t xml:space="preserve">1) գլանափաթեթներով կենցաղային և սանիտարահիգիենիկ նշանակության ապրանքներ` 1%-ի չափով, բայց 10 գլանափաթեթից ոչ պակաս,</w:t>
      </w:r>
    </w:p>
    <w:p>
      <w:pPr/>
      <w:r>
        <w:rPr/>
        <w:t xml:space="preserve">2) թերթերով կենցաղային և սանիտարահիգիենիկ նշանակության ապրանքներ` 100 թերթից ոչ պակաս,</w:t>
      </w:r>
    </w:p>
    <w:p>
      <w:pPr/>
      <w:r>
        <w:rPr/>
        <w:t xml:space="preserve">3) կանացի միջադիր, վիրախծուծ, խանձարուր և համանման սանիտարահիգիենիկ ապրանքներ` 30 հատից ոչ պակաս:</w:t>
      </w:r>
    </w:p>
    <w:p>
      <w:pPr>
        <w:numPr>
          <w:ilvl w:val="0"/>
          <w:numId w:val="11"/>
        </w:numPr>
      </w:pPr>
      <w:r>
        <w:rPr/>
        <w:t xml:space="preserve">Կենցաղային և սանիտարահիգիենիկ նշանակության ապրանքների նույնականացման գործընթացում ստուգվում են դրանց փաթեթվածքի կամ դրանց փակցված պիտակների վրա կատարված մակնշվածքի համապատասխանությունն ապրանքաուղեկից փաստաթղթում նշված տեղեկատվությանը։</w:t>
      </w:r>
    </w:p>
    <w:p>
      <w:pPr>
        <w:numPr>
          <w:ilvl w:val="0"/>
          <w:numId w:val="11"/>
        </w:numPr>
      </w:pPr>
      <w:r>
        <w:rPr/>
        <w:t xml:space="preserve">Սույն տեխնիկական կանոնակարգով սահմանված պահանջների համապատասախանությունը կատարվում է 10-րդ բաժնով նախատեսված ստանդարտներով սահմանված փորձարկման մեթոդներով կամ նույն ճշտությունն ապահովող այլ մեթոդներով։</w:t>
      </w:r>
    </w:p>
    <w:p>
      <w:pPr/>
      <w:r>
        <w:rPr/>
        <w:t xml:space="preserve">23․ Կենցաղային և սանիտարահիգիենիկ նշանակության ապրանքների անվտանգության հիգիենիկ ցուցանիշների որոշման ժամանակ ջրային լուծամզուքը պետք է պատրաստել սանիտարական կանոններին և նորմերին համապատասխան:</w:t>
      </w:r>
    </w:p>
    <w:p>
      <w:pPr/>
      <w:r>
        <w:rPr/>
        <w:t xml:space="preserve">24․ Կենցաղային և սանիտարահիգիենիկ նշանակության ապրանքների անվտանգության հիգիենիկ ցուցանիշները որոշում են Հայաստանի Հանրապետության առողջապահության նախարարության նորմատիվ իրավական ակտով սահմանված մեթոդներով: </w:t>
      </w:r>
    </w:p>
    <w:p>
      <w:pPr>
        <w:numPr>
          <w:ilvl w:val="0"/>
          <w:numId w:val="12"/>
        </w:numPr>
      </w:pPr>
      <w:r>
        <w:rPr/>
        <w:t xml:space="preserve">Համապատասխանության գնահատման նշանակված սերտիֆիկացման մարմինը հայտատուին համապատասխանության սերտիֆիկատ հանձնելու ժամանակ նրա հետ կնքում է համապատասխանության սերտիֆիկատի օգտագործման մասին պայմանագիր, եթե սերտիֆիկացումն իրականացվել է համապատասխանության հավաստման Հայաստանի Հանրապետության կառավարության 2014 թվականի հունվարի 16-ի N 56-Ն որոշմամբ սահմանված սերտիֆիկացման համար նախատեսված ընթացակարգերով։</w:t>
      </w:r>
    </w:p>
    <w:p>
      <w:pPr>
        <w:numPr>
          <w:ilvl w:val="0"/>
          <w:numId w:val="12"/>
        </w:numPr>
      </w:pPr>
      <w:r>
        <w:rPr/>
        <w:t xml:space="preserve">Համապատասխանության հայտարարագրի կամ համապատասխանության սերտիֆիկատի գործողության ժամկետը սահմանվում է 3 տարվանից ոչ ավելի:</w:t>
      </w:r>
    </w:p>
    <w:p>
      <w:pPr>
        <w:numPr>
          <w:ilvl w:val="0"/>
          <w:numId w:val="12"/>
        </w:numPr>
      </w:pPr>
      <w:r>
        <w:rPr/>
        <w:t xml:space="preserve">Սույն տեխնիկական կանոնակարգով սահմանված պահանջներին համապատասախանության սերտիֆիկատի կասեցնելու կամ դադարեցնելու պայմանները սահմանված են Հայաստանի Հանրապետության կառավարության 2014 թվականի հունվարի 16-ի N 56-Ն որոշմամբ։</w:t>
      </w:r>
    </w:p>
    <w:p>
      <w:pPr>
        <w:numPr>
          <w:ilvl w:val="0"/>
          <w:numId w:val="12"/>
        </w:numPr>
      </w:pPr>
      <w:r>
        <w:rPr/>
        <w:t xml:space="preserve">Համապատասխանության սերտիֆիկատի գործողությունը կասեցնելու կամ դադարեցնելու դեպքում սերտիֆիկացման մարմինը դրա մասին տեղեկացնում է համապատասխանության սերտիֆիկատը տնօրինողին և գրավոր ծանուցում ստուգումներ իրականացնող իրավասու մարմիններին։</w:t>
      </w:r>
    </w:p>
    <w:p>
      <w:pPr/>
      <w:r>
        <w:rPr>
          <w:b w:val="1"/>
          <w:bCs w:val="1"/>
        </w:rPr>
        <w:t xml:space="preserve">ՉԱՓՈՒՄՆԵՐԻ ՄԻԱՍՆԱԿԱՆՈՒԹՅԱՆ ԱՊԱՀՈՎՈՒՄԸ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Կենցաղային և սանիտարահիգիենիկ նշանակության ապրանքների ցուցանիշների չափումների միասնականության ապահովումը պետք է իրականացվի «Չափումների միասնականության ապահովման մասին» Հայաստանի Հանրապետության օրենքով սահմանված կարգով։</w:t>
      </w:r>
    </w:p>
    <w:p>
      <w:pPr/>
      <w:r>
        <w:rPr>
          <w:b w:val="1"/>
          <w:bCs w:val="1"/>
        </w:rPr>
        <w:t xml:space="preserve">ՊԵՏԱԿԱՆ ՎԵՐԱՀՍԿՈՂՈՒԹՅՈՒՆԸ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Սույն տեխնիկական կանոնակարգի պահանջներին կենցաղային և սանիտարահիգիենիկ նշանակության ապրանքների համապատասխանության պետական վերահսկողությունն իրականացվում է «Տեխնիկական կանոնակարգման մասին», «Հայաստանի Հանրապետությունում ստուգումների կազմակերպման և անցկացման մասին» օրենքներով և այլ իրավական ակտերով սահմանված կարգով։</w:t>
      </w:r>
    </w:p>
    <w:p>
      <w:pPr/>
      <w:r>
        <w:rPr>
          <w:b w:val="1"/>
          <w:bCs w:val="1"/>
        </w:rPr>
        <w:t xml:space="preserve">ՏԵԽՆԻԿԱԿԱՆ ԿԱՆՈՆԱԿԱՐԳՈՎ ՍԱՀՄԱՆՎԱԾ ՊԱՀԱՆՋՆԵՐԻ ԿԱՏԱՐՈՒՄՆ</w:t>
      </w:r>
      <w:r>
        <w:rPr>
          <w:b w:val="1"/>
          <w:bCs w:val="1"/>
        </w:rPr>
        <w:t xml:space="preserve">ԱՊԱՀՈՎՈՂ</w:t>
      </w:r>
      <w:r>
        <w:rPr/>
        <w:t xml:space="preserve"> </w:t>
      </w:r>
      <w:r>
        <w:rPr>
          <w:b w:val="1"/>
          <w:bCs w:val="1"/>
        </w:rPr>
        <w:t xml:space="preserve">ՍՏԱՆԴԱՐՏՆԵՐԻ</w:t>
      </w:r>
      <w:r>
        <w:rPr/>
        <w:t xml:space="preserve"> </w:t>
      </w:r>
      <w:r>
        <w:rPr>
          <w:b w:val="1"/>
          <w:bCs w:val="1"/>
        </w:rPr>
        <w:t xml:space="preserve">ՑԱՆԿԸ</w:t>
      </w:r>
    </w:p>
    <w:tbl>
      <w:tblGrid>
        <w:gridCol w:w="3510" w:type="dxa"/>
        <w:gridCol w:w="6990" w:type="dxa"/>
      </w:tblGrid>
      <w:tblPr>
        <w:tblW w:w="10500" w:type="dxa"/>
        <w:tblLayout w:type="autofit"/>
      </w:tblPr>
      <w:tr>
        <w:trPr/>
        <w:tc>
          <w:tcPr>
            <w:tcW w:w="3510" w:type="dxa"/>
            <w:noWrap/>
          </w:tcPr>
          <w:p>
            <w:pP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Ստանդարտների նշագիրը</w:t>
            </w:r>
            <w:br/>
            <w:r>
              <w:rPr>
                <w:b w:val="1"/>
                <w:bCs w:val="1"/>
              </w:rPr>
              <w:t xml:space="preserve"> (բաժինը, կետը)</w:t>
            </w:r>
          </w:p>
        </w:tc>
        <w:tc>
          <w:tcPr>
            <w:tcW w:w="6990" w:type="dxa"/>
            <w:noWrap/>
          </w:tcPr>
          <w:p>
            <w:pPr/>
            <w:r>
              <w:rPr>
                <w:b w:val="1"/>
                <w:bCs w:val="1"/>
              </w:rPr>
              <w:t xml:space="preserve">Պահանջներ և փորձարկման մեթոդներ սահմանող</w:t>
            </w:r>
            <w:br/>
            <w:r>
              <w:rPr>
                <w:b w:val="1"/>
                <w:bCs w:val="1"/>
              </w:rPr>
              <w:t xml:space="preserve"> ստանդարտի անվանումը</w:t>
            </w:r>
          </w:p>
        </w:tc>
      </w:tr>
      <w:tr>
        <w:trPr/>
        <w:tc>
          <w:tcPr>
            <w:tcW w:w="10500" w:type="dxa"/>
            <w:noWrap/>
          </w:tcPr>
          <w:p>
            <w:pPr/>
            <w:r>
              <w:rPr/>
              <w:t xml:space="preserve">ԳՕՍՏ Ռ 52354</w:t>
            </w:r>
            <w:br/>
            <w:r>
              <w:rPr/>
              <w:t xml:space="preserve"> (5-րդ բաժին)</w:t>
            </w:r>
          </w:p>
        </w:tc>
        <w:tc>
          <w:tcPr>
            <w:tcW w:w="10500" w:type="dxa"/>
            <w:noWrap/>
          </w:tcPr>
          <w:p>
            <w:pPr/>
            <w:r>
              <w:rPr/>
              <w:t xml:space="preserve">ԿԵնցաղային և սանիտարահիգիենիկ նշանակության</w:t>
            </w:r>
            <w:br/>
            <w:r>
              <w:rPr/>
              <w:t xml:space="preserve"> թղթե արտադրատեսակները. Ընդհանուր տեխնիկական</w:t>
            </w:r>
            <w:br/>
            <w:r>
              <w:rPr/>
              <w:t xml:space="preserve"> պայմաններ</w:t>
            </w:r>
          </w:p>
        </w:tc>
      </w:tr>
      <w:tr>
        <w:trPr/>
        <w:tc>
          <w:tcPr>
            <w:tcW w:w="10500" w:type="dxa"/>
            <w:noWrap/>
          </w:tcPr>
          <w:p>
            <w:pPr/>
            <w:r>
              <w:rPr/>
              <w:t xml:space="preserve">ԳՕՍՏ Ռ 52483</w:t>
            </w:r>
            <w:br/>
            <w:r>
              <w:rPr/>
              <w:t xml:space="preserve"> (7-րդ բաժին)</w:t>
            </w:r>
          </w:p>
        </w:tc>
        <w:tc>
          <w:tcPr>
            <w:tcW w:w="10500" w:type="dxa"/>
            <w:noWrap/>
          </w:tcPr>
          <w:p>
            <w:pPr/>
            <w:r>
              <w:rPr/>
              <w:t xml:space="preserve">Կանացի հիգիենիկ միջադիրներ (փաթեթներ).</w:t>
            </w:r>
            <w:br/>
            <w:r>
              <w:rPr/>
              <w:t xml:space="preserve"> Ընդհանուր տեխնիկական պայմաններ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E40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DFE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6FBE7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8D926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0774A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E649B2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E4F93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4B5110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46AA5F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DFA0AA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916DA7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A48E96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E78E21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2026-04-03T18:45:55+04:00</dcterms:created>
  <dcterms:modified xsi:type="dcterms:W3CDTF">2026-04-03T18:45:55+04:00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