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Հանրապետությունում ԱՏԳ ԱԱ 2402 ծածկագրին դասվող ապրանքների՝  Եվրասիական տնտեսական միության շրջանակներում նույնականացման միջոցներով դրոշմավորման կարգը սահմանելու մասին»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______ _____________ 2023 թվականի N _____-Ն</w:t></w:r></w:p><w:p><w:pPr/><w:r><w:rPr/><w:t xml:space="preserve"> </w:t></w:r></w:p><w:p><w:pPr><w:jc w:val="center"/></w:pPr><w:r><w:rPr><w:b w:val="1"/><w:bCs w:val="1"/></w:rPr><w:t xml:space="preserve">ՀԱՅԱՍՏԱՆԻ ՀԱՆՐԱՊԵՏՈՒԹՅՈՒՆՈՒՄ ԱՏԳ ԱԱ 2402 ԾԱԾԿԱԳՐԻՆ ԴԱՍՎՈՂ ԱՊՐԱՆՔՆԵՐԻ՝  ԵՎՐԱՍԻԱԿԱՆ ՏՆՏԵՍԱԿԱՆ ՄԻՈՒԹՅԱՆ ՇՐՋԱՆԱԿՆԵՐՈՒՄ ՆՈՒՅՆԱԿԱՆԱՑՄԱՆ ՄԻՋՈՑՆԵՐՈՎ ԴՐՈՇՄԱՎՈՐՄԱՆ ԿԱՐԳԸ ՍԱՀՄԱՆԵԼՈՒ ՄԱՍԻՆ</w:t></w:r></w:p><w:p><w:pPr/><w:r><w:rPr><w:b w:val="1"/><w:bCs w:val="1"/></w:rPr><w:t xml:space="preserve"> </w:t></w:r></w:p><w:p><w:pPr/><w:r><w:rPr/><w:t xml:space="preserve">Հիմք ընդունելով 2018 թվականի փետրվարի 2-ի «Եվրասիական տնտեսական միությունում նույնականացման միջոցներով ապրանքների դրոշմավորման մասին» համաձայնագիրը և Հայաստանի Հանրապետության հարկային օրենսգրքի 396․1-ին հոդվածի 2-րդ մասը՝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Սահմանել, որ Հայաստանի Հանրապետությունում 2023 թվականի մարտի 1-ից Հայաստանի Հանրապետության հարկային օրենսգրքի 389-րդ հոդվածով սահմանված ԱՏԳԱԱ 2402 ծածկագրին դասվող ապրանքների ակցիզային դրոշմանիշերով դրոշմավորման ենթակա ապրանքների դրոշմավորումը իրականացվում է համաձայն Եվրասիական տնտեսական խորհրդի կողմից 2021 թվականի մարտի 5-ին հաստատված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մոդել)։</w:t></w:r></w:p><w:p><w:pPr><w:numPr><w:ilvl w:val="0"/><w:numId w:val="2"/></w:numPr></w:pPr><w:r><w:rPr/><w:t xml:space="preserve">Սահմանել, որ Հայաստանի Հանրապետության հարկային օրենսգրքի 389-րդ հոդվածով սահմանված ԱՏԳԱԱ 2402 ծածկագրին դասվող ապրանքների ակցիզային դրոշմանիշերով դրոշմավորման ենթակա ապրանքները հիմնական մոդելի համաձայն դրոշմավորմանը զուգահեռ շարունակվում են դրոշմավորվել ակցիզային դրոշմանիշերով մինչև ակցիզային դրոշմանիշերի վերջնական սպառումը և շրջանառությունից հանվելը։</w:t></w:r></w:p><w:p><w:pPr><w:numPr><w:ilvl w:val="0"/><w:numId w:val="2"/></w:numPr></w:pPr><w:r><w:rPr/><w:t xml:space="preserve">Սահմանել, որ հիմնական մոդելի համաձայն դրոշմավորված ապրանքների մասին տեղեկությունների ձևաչափի, կազմի և կառուցվածքի, ինչպես նաև այդ տեղեկությունների փոխանցման ժամկետների նկատմամբ պահանջները սահմանվում են Հայաստանի Հանրապետության պետական եկամուտների կոմիտեի նախագահի հրամանով։</w:t></w:r></w:p><w:p><w:pPr><w:numPr><w:ilvl w:val="0"/><w:numId w:val="2"/></w:numPr></w:pPr><w:r><w:rPr/><w:t xml:space="preserve">Սահմանել Հայաստանի Հանրապետության հարկային օրենսգրքի 389-րդ հոդվածով սահմանված՝ ԱՏԳ ԱԱ 2402 ծածկագրին դասվող ապրանքների՝ հիմնական մոդելի համաձայն դրոշմավորման կարգը՝ համաձայն հավելվածի։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Հավելված </w:t></w:r></w:p><w:p><w:pPr><w:jc w:val="end"/></w:pPr><w:r><w:rPr><w:b w:val="1"/><w:bCs w:val="1"/></w:rPr><w:t xml:space="preserve">ՀՀ</w:t></w:r><w:r><w:rPr/><w:t xml:space="preserve"> </w:t></w:r><w:r><w:rPr><w:b w:val="1"/><w:bCs w:val="1"/></w:rPr><w:t xml:space="preserve">կառավարության</w:t></w:r><w:r><w:rPr><w:b w:val="1"/><w:bCs w:val="1"/></w:rPr><w:t xml:space="preserve"> 2023 </w:t></w:r><w:r><w:rPr><w:b w:val="1"/><w:bCs w:val="1"/></w:rPr><w:t xml:space="preserve">թվականի</w:t></w:r></w:p><w:p><w:pPr><w:jc w:val="end"/></w:pPr><w:r><w:rPr><w:b w:val="1"/><w:bCs w:val="1"/></w:rPr><w:t xml:space="preserve">____________ ____-</w:t></w:r><w:r><w:rPr><w:b w:val="1"/><w:bCs w:val="1"/></w:rPr><w:t xml:space="preserve">ի</w:t></w:r><w:r><w:rPr><w:b w:val="1"/><w:bCs w:val="1"/></w:rPr><w:t xml:space="preserve"> N____-</w:t></w:r><w:r><w:rPr><w:b w:val="1"/><w:bCs w:val="1"/></w:rPr><w:t xml:space="preserve">Ն</w:t></w:r><w:r><w:rPr/><w:t xml:space="preserve"> </w:t></w:r><w:r><w:rPr><w:b w:val="1"/><w:bCs w:val="1"/></w:rPr><w:t xml:space="preserve">որոշման</w:t></w:r></w:p><w:p><w:pPr/><w:r><w:rPr><w:b w:val="1"/><w:bCs w:val="1"/></w:rPr><w:t xml:space="preserve"> </w:t></w:r></w:p><w:p><w:pPr><w:jc w:val="center"/></w:pPr><w:r><w:rPr><w:b w:val="1"/><w:bCs w:val="1"/></w:rPr><w:t xml:space="preserve">ԿԱՐԳ</w:t></w:r></w:p><w:p><w:pPr><w:jc w:val="center"/></w:pPr><w:r><w:rPr><w:b w:val="1"/><w:bCs w:val="1"/></w:rPr><w:t xml:space="preserve">ՀԱՅԱՍՏԱՆԻ ՀԱՆՐԱՊԵՏՈՒԹՅԱՆ ՀԱՐԿԱՅԻՆ ՕՐԵՆՍԳՐՔԻ 389-ՐԴ ՀՈԴՎԱԾՈՎ ՍԱՀՄԱՆՎԱԾ՝ ԱՏԳ ԱԱ 2402 ԾԱԾԿԱԳՐԻՆ ԴԱՍՎՈՂ ԱՊՐԱՆՔՆԵՐԻ՝ ՀԻՄՆԱԿԱՆ ՄՈԴԵԼԻ ՀԱՄԱՁԱՅՆ ԴՐՈՇՄԱՎՈՐՄԱՆ</w:t></w:r></w:p><w:p><w:pPr/><w:r><w:rPr><w:b w:val="1"/><w:bCs w:val="1"/></w:rPr><w:t xml:space="preserve"> </w:t></w:r></w:p><w:p><w:pPr><w:numPr><w:ilvl w:val="0"/><w:numId w:val="3"/></w:numPr></w:pPr><w:r><w:rPr/><w:t xml:space="preserve">Սույն կարգով կարգավորվում են Հայաստանի Հանրապետության հարկային օրենսգրքի (այսուհետ՝ օրենսգիրք) 389-րդ հոդվածով սահմանված՝ ԱՏԳ ԱԱ 2402 ծածկագրին դասվող ապրանքների (այսուհետ՝ ծխախոտային արտադրանք)՝ Եվրասիական տնտեսական խորհրդի կողմից 2021 թվականի մարտի 5-ին հաստատված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 համաձայն դրոշմավորման հետ կապված հարաբերությունները։</w:t></w:r></w:p><w:p><w:pPr/><w:r><w:rPr/><w:t xml:space="preserve">2․ Ծխախոտային արտադրանքի նույնականացման միջոցը կիրառվում է ծխախոտային արտադրանքի անհատական և խմբային փաթեթավորման կամ պիտակի վրա՝ երկչափ շտրիխ ծածկագրի տեսքով:</w:t></w:r></w:p><w:p><w:pPr/><w:r><w:rPr/><w:t xml:space="preserve">3․ Ծխախոտային արտադրանքի անհատական և խմբային փաթեթավորման կամ պիտակի վրա նույնականացման միջոցների դրոշմավորման որակի պահանջն է տպագրությունը ECC-200 սխալների ուղղման մեթոդով` ISO/IEC 16022:2006 միջազգային ստանդարտի պահանջներին համապատասխան (ISO/IEC 16022:2006 «Տեղեկատվական տեխնոլոգիա՝ ավտոմատացված նույնականացման և տվյալների հավաքագրման տեխնիկաներ՝ Data Matrix ձևաչափով շտրիխ ծածկագրի սիմվոլիական տեխնիկական հատկորոշիչ»):</w:t></w:r></w:p><w:p><w:pPr/><w:r><w:rPr/><w:t xml:space="preserve">3․ Ծխախոտային արտադրանքի անհատական փաթեթավորման նույնականացման միջոցը ներառում է  դրոշմավորման ծածկագիրը՝ երկչափ շտրիխ ծածկագիր DataMatrix ձևաչափով՝ հարմար մեքենայական ընթերցման համար, որը ներառում է տվյալների 3 (երեք) պարտադիր խումբ, որոնցից առաջին 2 (երկու)  խումբը անհատական փաթեթավորման նույնականացման ծածկագիրն է, ընդ որում՝</w:t></w:r></w:p><w:p><w:pPr><w:numPr><w:ilvl w:val="0"/><w:numId w:val="4"/></w:numPr></w:pPr><w:r><w:rPr/><w:t xml:space="preserve">պարտադիր տվյալների առաջին խումբը ներառում է անհատական փաթեթավորման (GTIN) ապրանքի ծածկագիրը՝ բաղկացած 14 (տասնչորս) նիշից,</w:t></w:r></w:p><w:p><w:pPr><w:numPr><w:ilvl w:val="0"/><w:numId w:val="4"/></w:numPr></w:pPr><w:r><w:rPr/><w:t xml:space="preserve">պարտադիր տվյալների երկրորդ խումբը ներառում է անհատական փաթեթավորման անհատական սերիական համար` բաղկացած 7 նիշից (թվանշաններ, լատինատառ այբուբենի մեծատառեր և փոքրատառեր, ինչպես նաև հատուկ նիշեր (!"%&'()*+,-./_:;=<>?)),</w:t></w:r></w:p><w:p><w:pPr><w:numPr><w:ilvl w:val="0"/><w:numId w:val="4"/></w:numPr></w:pPr><w:r><w:rPr/><w:t xml:space="preserve">պարտադիր տվյալների երրորդ խումբը ներառում է ստուգման ծածկագիր՝ բաղկացած 8 նիշից (թվանշաններ, լատինատառ այբուբենի մեծատառեր և փոքրատառեր, ինչպես նաև հատուկ նիշեր (!"%&'()*+,-./_:;=<>?)), որը տրամադրում է օպերատորը:</w:t></w:r></w:p><w:p><w:pPr/><w:r><w:rPr/><w:t xml:space="preserve">4․ Ծխախոտային արտադրանքի խմբային փաթեթավորման դրոշմավորման համար օգտագործվում է նույնականացման միջոց, որը ներառում է  դրոշմավորման ծածկագիր՝ երկչափ շտրիխ ծածկագիր DataMatrix ձևաչափով՝ հարմար մեքենայական ընթերցման համար, որը ներառում է տվյալների 3 (երեք) պարտադիր խումբ, որոնցից առաջին 2-ը (երկուսը)  ձևավորում են խմբային փաթեթավորման նույնականացման ծածկագիրը, ընդ որում՝</w:t></w:r></w:p><w:p><w:pPr><w:numPr><w:ilvl w:val="0"/><w:numId w:val="5"/></w:numPr></w:pPr><w:r><w:rPr/><w:t xml:space="preserve">պարտադիր տվյալների առաջին խումբը նույնականացվում է AI = '01' կիրառման ծածկագրով և ներառում է խմբային փաթեթավորման ապրանքի ծածկագիրը, որը բաղկացած է 14 (տասնչորս)  նիշից (GTIN).</w:t></w:r></w:p><w:p><w:pPr><w:numPr><w:ilvl w:val="0"/><w:numId w:val="5"/></w:numPr></w:pPr><w:r><w:rPr/><w:t xml:space="preserve">պարտադիր տվյալների երկրորդ խումբը նույնականացվում է AI = '21' կիրառման ծածկագրով և ներառում է անհատական փաթեթավորման անհատական սերիական համար՝ բաղկացած 7 նիշից (թվանշաններ, լատինատառ այբուբենի մեծատառեր և փոքրատառեր, ինչպես նաև հատուկ նիշեր): Տվյալների այս խմբի եզրափակիչ նիշը հանդիսանում է նիշ-բաժանարարը, որն ունի «29» ծածկագիրը ASCII նիշերի աղյուսակում,</w:t></w:r></w:p><w:p><w:pPr><w:numPr><w:ilvl w:val="0"/><w:numId w:val="5"/></w:numPr></w:pPr><w:r><w:rPr/><w:t xml:space="preserve">պարտադիր տվյալների երրորդ խումբը նույնականացվում է AI = '93' կիրառման ծածկագրով և ներառում է ստուգման ծածկագիր՝ բաղկացած 8 նիշից (թվանշաններ, լատինատառ այբուբենի մեծատառեր և փոքրատառեր, ինչպես նաև հատուկ նիշեր), որը տրամադրում է օպերատորը:</w:t></w:r></w:p><w:p><w:pPr/><w:r><w:rPr/><w:t xml:space="preserve">5․ Նույնականացման միջոցը փակցվում է անհատական և խմբային փաթեթավորման և (կամ) պիտակի վրա այնպիսի մեթոդով, որը թույլ չի տալիս նույնականացման միջոցն առանձնացնել փաթեթից կամ պիտակից:</w:t></w:r></w:p><w:p><w:pPr/><w:r><w:rPr/><w:t xml:space="preserve">Անհատական փաթեթավորման վրա նույնականացման միջոցների փակցման նկատմամբ կիրառվում են հետևյալ պահանջները․</w:t></w:r></w:p><w:p><w:pPr/><w:r><w:rPr/><w:t xml:space="preserve">ա) նույնականացման միջոցը չպետք է տպվի փաթեթավորման թափանցիկ թաղանթի կամ արտաքին փաթեթավորման այլ նյութի վրա և չպետք է ծածկվի որևէ այլ տեղեկատվությամբ,</w:t></w:r></w:p><w:p><w:pPr/><w:r><w:rPr/><w:t xml:space="preserve">բ) նույնականացման միջոցը պետք է փակցված լինի այնպես, որ անհատական փաթեթավորման վրա տպված տեղեկատվության ամբողջականությունը չխախտվի՝ համաձայն տեխնիկական կանոնակարգման մասին օրենսդրության պահանջների։</w:t></w:r></w:p><w:p><w:pPr/><w:r><w:rPr/><w:t xml:space="preserve">Ծխախոտային արտադրանքի պիտակի փակցման նկատմամբ կիրառվում են հետևյալ պահանջները․</w:t></w:r></w:p><w:p><w:pPr/><w:r><w:rPr/><w:t xml:space="preserve">ա) ծխախոտային արտադրանքի անհատական կամ խմբային փաթեթավորման վրա պիտակներ փակցնելու համար պետք է օգտագործվի տեխնոլոգիա, որն ապահովում է պիտակի վրա տպված նույնականացման միջոցների ընթերցումը պիտակի կիրառման պահից մինչև ծխախոտային արտադրանքը սպառողին վաճառելու պահը,</w:t></w:r></w:p><w:p><w:pPr/><w:r><w:rPr/><w:t xml:space="preserve">բ) պիտակը փակցվում է ծխախոտային արտադրանքի անհատական կամ խմբային փաթեթավորման վրա սոսնձման միջոցով, թույլատրվում է պիտակը փակցնել ծխախոտային արտադրանք արտադրողի կողմից արտադրանքի փաթեթավորման համար կիրառվող թաղանթի վրա,</w:t></w:r></w:p><w:p><w:pPr/><w:r><w:rPr/><w:t xml:space="preserve">գ) չի թույլատրվում պիտակի վրա տպել ծխախոտային արտադրանքի փաթեթավորման որևէ տարր (բացառությամբ արտադրողի կողմից ծխախոտային արտադրանքի փաթեթավորման համար կիրառվող փաթեթավորման թափանցիկ թաղանթը), որոնք ծածկում են պիտակի մակերեսը և դժվարացնում են նույնականացման միջոցների ընթերցումը:</w:t></w:r></w:p><w:p><w:pPr/><w:r><w:rPr/><w:t xml:space="preserve">6․ Դրոշմավորման ծածկագիրը փակցվում է փաթեթի ներքևում կամ կողային հատվածում՝ հաշվի առնելով փաթեթի դիզայնը և ագրեգացման գործընթացները: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5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A56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A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E4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2026-03-31T04:08:15+04:00</dcterms:created>
  <dcterms:modified xsi:type="dcterms:W3CDTF">2026-03-31T04:08:15+04:00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