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ՕՐԵՆՔՈՒՄ ՓՈՓՈԽՈՒԹՅՈՒՆՆԵՐ ԵՎ ԼՐԱՑՈՒՄՆԵՐ ԿԱՏԱՐԵԼՈՒ ՄԱՍԻՆ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Ընդունված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-----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--------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 --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ին</w:t>
      </w:r>
    </w:p>
    <w:p>
      <w:pPr>
        <w:jc w:val="center"/>
      </w:pPr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«ՊԵՏԱԿԱՆ ՏՈՒՐՔԻ 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 ԼՐԱՑՈՒՄՆԵՐ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              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«Պետական տուրքի մասին» 1997 թվականի դեկտեմբերի 27-ի ՀO-186 օրենքի (այսուհետ՝ Օրենք) 15-րդ հոդվածի 1-ին կետի «է» ենթակետը շարադրել հետևյալ խմբագրությամբ.</w:t>
      </w:r>
    </w:p>
    <w:p>
      <w:pPr/>
      <w:r>
        <w:rPr/>
        <w:t xml:space="preserve"> </w:t>
      </w:r>
    </w:p>
    <w:tbl>
      <w:tblGrid>
        <w:gridCol w:w="420" w:type="dxa"/>
        <w:gridCol w:w="8370" w:type="dxa"/>
        <w:gridCol w:w="990" w:type="dxa"/>
      </w:tblGrid>
      <w:tblPr>
        <w:tblW w:w="9780" w:type="dxa"/>
        <w:tblLayout w:type="autofit"/>
      </w:tblPr>
      <w:tr>
        <w:trPr/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է) Հայաստանի Հանրապետություն վերադարձի վկայական տալու համար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Օրենքի 15-րդ հոդվածի 1-ին կետի «ը» ենթակետը ուժը կորցրած ճանաչել։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3.</w:t>
      </w:r>
      <w:r>
        <w:rPr>
          <w:b w:val="1"/>
          <w:bCs w:val="1"/>
        </w:rPr>
        <w:t xml:space="preserve"> </w:t>
      </w:r>
      <w:r>
        <w:rPr/>
        <w:t xml:space="preserve">Օրենքի 15-րդ հոդվածի 4-րդ կետի «թ» ենթակետը շարադրել հետևյալ խմբագրությամբ.</w:t>
      </w:r>
    </w:p>
    <w:tbl>
      <w:tblGrid>
        <w:gridCol w:w="420" w:type="dxa"/>
        <w:gridCol w:w="8370" w:type="dxa"/>
        <w:gridCol w:w="990" w:type="dxa"/>
      </w:tblGrid>
      <w:tblPr>
        <w:tblW w:w="9780" w:type="dxa"/>
        <w:tblLayout w:type="autofit"/>
      </w:tblPr>
      <w:tr>
        <w:trPr/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թ) քաղաքացիական կացության ակտային գրանցումը վերականգնելու համար, ներառյալ` համապատասխան վկայական տալը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45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4.</w:t>
      </w:r>
      <w:r>
        <w:rPr>
          <w:b w:val="1"/>
          <w:bCs w:val="1"/>
        </w:rPr>
        <w:t xml:space="preserve"> </w:t>
      </w:r>
      <w:r>
        <w:rPr/>
        <w:t xml:space="preserve">Օրենքի 15-րդ հոդվածը լրացնել հետևյալ բովանդակությամբ 10-րդ կետով</w:t>
      </w:r>
    </w:p>
    <w:tbl>
      <w:tblGrid>
        <w:gridCol w:w="510" w:type="dxa"/>
        <w:gridCol w:w="8280" w:type="dxa"/>
        <w:gridCol w:w="960" w:type="dxa"/>
      </w:tblGrid>
      <w:tblPr>
        <w:tblW w:w="9750" w:type="dxa"/>
        <w:tblLayout w:type="autofit"/>
      </w:tblPr>
      <w:tr>
        <w:trPr/>
        <w:tc>
          <w:tcPr>
            <w:tcW w:w="510" w:type="dxa"/>
            <w:noWrap/>
          </w:tcPr>
          <w:p>
            <w:pPr/>
            <w:r>
              <w:rPr>
                <w:b w:val="1"/>
                <w:bCs w:val="1"/>
              </w:rPr>
              <w:t xml:space="preserve">10.</w:t>
            </w:r>
          </w:p>
        </w:tc>
        <w:tc>
          <w:tcPr>
            <w:tcW w:w="8280" w:type="dxa"/>
            <w:noWrap/>
          </w:tcPr>
          <w:p>
            <w:pPr/>
            <w:r>
              <w:rPr>
                <w:b w:val="1"/>
                <w:bCs w:val="1"/>
              </w:rPr>
              <w:t xml:space="preserve">Տեսակապի միջոցով մատուցվող ծառայություններ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280" w:type="dxa"/>
            <w:noWrap/>
          </w:tcPr>
          <w:p>
            <w:pPr/>
            <w:r>
              <w:rPr/>
              <w:t xml:space="preserve">ա) տեսակապի միջոցով դիմողի ինքնությունը պարզելով օտարերկրյա պետություններում վավերական`</w:t>
            </w:r>
            <w:br/>
            <w:r>
              <w:rPr/>
              <w:t xml:space="preserve"> Հայաստանի Հանրապետության քաղաքացու անձնագիր տրամադրելու (փոխանակելու) համար 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280" w:type="dxa"/>
            <w:noWrap/>
          </w:tcPr>
          <w:p>
            <w:pPr/>
            <w:r>
              <w:rPr/>
              <w:t xml:space="preserve">բ) տեսակապի միջոցով դիմողի ինքնությունը պարզելով օտարերկրյա պետություններում Հայաստանի Հանրապետության քաղաքացու անձնագրի վավերականության ժամկետը երկարաձգելու համար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280" w:type="dxa"/>
            <w:noWrap/>
          </w:tcPr>
          <w:p>
            <w:pPr/>
            <w:r>
              <w:rPr/>
              <w:t xml:space="preserve">գ) տեսակապի միջոցով դիմողի ինքնությունը պարզելով Հայաստանի Հանրապետություն վերադարձի վկայական տալու համար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45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5.</w:t>
      </w:r>
      <w:r>
        <w:rPr>
          <w:b w:val="1"/>
          <w:bCs w:val="1"/>
        </w:rPr>
        <w:t xml:space="preserve"> </w:t>
      </w:r>
      <w:r>
        <w:rPr/>
        <w:t xml:space="preserve">Օրենքի 26-րդ հոդվածի 3-րդ մասն ուժը կորցրած ճանաչել։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6.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2023 թվականի հունվարի 1-ից:   </w:t>
      </w:r>
    </w:p>
    <w:p>
      <w:pPr/>
      <w:r>
        <w:rPr/>
        <w:t xml:space="preserve">            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 Հանրապետության նախագահ</w:t>
            </w:r>
          </w:p>
        </w:tc>
        <w:tc>
          <w:tcPr>
            <w:tcW w:w="5000" w:type="pct"/>
            <w:noWrap/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                                       Վ. Խաչատուրյան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20--- թ. ----------- «     »</w:t>
            </w:r>
          </w:p>
          <w:p>
            <w:pPr/>
            <w:r>
              <w:rPr/>
              <w:t xml:space="preserve">Երևան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2026-04-03T23:46:33+04:00</dcterms:created>
  <dcterms:modified xsi:type="dcterms:W3CDTF">2026-04-03T23:46:33+04:00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