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ՄԱՐՏԻ 19-Ի N 596-Ն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2022 թվականի «________________» «_____» 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ՄԱՐՏԻ 19-Ի N 596-Ն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      «Նորմատիվ իրավական ակտերի մասին» օրենքի 33-րդ և 34-րդ հոդվածների համաձայն`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N 4 հավելվածի ցանկ N 2-ում.</w:t>
      </w:r>
    </w:p>
    <w:p>
      <w:pPr/>
      <w:r>
        <w:rPr/>
        <w:t xml:space="preserve">1) 3-րդ կետը լրացնել նոր 5-րդ ենթակետով հետևյալ բովանդակությամբ.</w:t>
      </w:r>
    </w:p>
    <w:p>
      <w:pPr/>
      <w:r>
        <w:rPr/>
        <w:t xml:space="preserve">«5) հուշաքարերը, խաչքարերը և խաչերը՝ բացառությամբ այն դեպքերի, երբ դրանց շինարարությունն (տեղադրումը) ավտոմոբիլային ճանապարհներին հարող տարածքներում, հատուկ պահպանվող և քաղաքաշինական գործունեության հատուկ կարգավորման օբյեկտների տարածքներում, որտեղ նախագծային փաթեթն անհրաժեշտ է նախապես համաձայնեցնել պետական լիազոր մարմինների, մասնավորապես, քաղաքաշինության, ավտոմոբիլային ճանապարհների, մշակույթի և այլ շահագրգիռ մարմինների հետ:»: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2026-04-03T20:08:10+04:00</dcterms:created>
  <dcterms:modified xsi:type="dcterms:W3CDTF">2026-04-03T20:08:10+04:00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