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«Լիցենզավորման ենթակա նախադպրոցական կրթական ծրագրին և ծառայությանը ներկայացվող պահանջները սահմանելու մասին» Կրթության, գիտության, մշակույթի և սպորտի նախարարի հրաման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ԼԻՑԵՆԶԱՎՈՐՄԱՆ ԵՆԹԱԿԱ  ՆԱԽԱԴՊՐՈՑԱԿԱՆ ԼՐԱՑՈՒՑԻՉ ԵՎ ԱՅԼԸՆՏՐԱՆՔԱՅԻՆ ( ԲԱՑԱՌՈՒԹՅԱՄԲ ՄԻՋԱԶԳԱՅԻՆ) ԿՐԹԱԿԱՆ ԾՐԱԳՐԵՐԸ ՀԱՍՏԱՏԵԼՈՒ ԵՎ ԾԱՌԱՅՈՒԹՅԱՆԸ ՆԵՐԿԱՅԱՑՎՈՂ ՊԱՀԱՆՋՆԵՐՆ ՈՒ ՏԵՎՈՂՈՒԹՅՈՒՆԸ ՍԱՀՄԱՆԵԼՈՒ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Հիմք ընդունելով «Նախադպրոցական կրթության մասին» օրենքի 24-րդ հոդվածի 1-ին մասի 4-րդ և 22-րդ կետերի պահանջները՝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numPr>
          <w:ilvl w:val="0"/>
          <w:numId w:val="2"/>
        </w:numPr>
      </w:pPr>
      <w:r>
        <w:rPr/>
        <w:t xml:space="preserve">Սահմանել լիցենզավորման ենթակա՝</w:t>
      </w:r>
    </w:p>
    <w:p>
      <w:pPr>
        <w:numPr>
          <w:ilvl w:val="0"/>
          <w:numId w:val="3"/>
        </w:numPr>
      </w:pPr>
      <w:r>
        <w:rPr/>
        <w:t xml:space="preserve">նախադպրոցական լրացուցիչ և այլընտրանքային ( բացառությամբ միջազգային) կրթական ծրագրին ներկայացվող պահանջները և տևողությունը՝ համաձայն հավելված 1-ի.</w:t>
      </w:r>
    </w:p>
    <w:p>
      <w:pPr>
        <w:numPr>
          <w:ilvl w:val="0"/>
          <w:numId w:val="3"/>
        </w:numPr>
      </w:pPr>
      <w:r>
        <w:rPr/>
        <w:t xml:space="preserve">նախադպրոցական ծառայությանը ներկայացվող պահանջները և տևողությունը՝ համաձայն հավելված 2-ի:</w:t>
      </w:r>
    </w:p>
    <w:p>
      <w:pPr>
        <w:numPr>
          <w:ilvl w:val="0"/>
          <w:numId w:val="4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>
        <w:jc w:val="end"/>
      </w:pP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ԴՈՒՄԱՆՅԱՆ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 1</w:t>
      </w:r>
    </w:p>
    <w:p>
      <w:pPr>
        <w:jc w:val="end"/>
      </w:pPr>
      <w:r>
        <w:rPr/>
        <w:t xml:space="preserve">Կրթության, գիտության, մշակույթի և</w:t>
      </w:r>
    </w:p>
    <w:p>
      <w:pPr>
        <w:jc w:val="end"/>
      </w:pPr>
      <w:r>
        <w:rPr/>
        <w:t xml:space="preserve">սպորտի նախարարի 2022 թվականի</w:t>
      </w:r>
    </w:p>
    <w:p>
      <w:pPr>
        <w:jc w:val="end"/>
      </w:pPr>
      <w:r>
        <w:rPr/>
        <w:t xml:space="preserve">-ի   N  -Ն հրամանի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ԼԻՑԵՆԶԱՎՈՐՄԱՆ</w:t>
      </w:r>
      <w:r>
        <w:rPr/>
        <w:t xml:space="preserve"> </w:t>
      </w:r>
      <w:r>
        <w:rPr>
          <w:b w:val="1"/>
          <w:bCs w:val="1"/>
        </w:rPr>
        <w:t xml:space="preserve">ԵՆԹԱԿԱ</w:t>
      </w:r>
      <w:r>
        <w:rPr>
          <w:b w:val="1"/>
          <w:bCs w:val="1"/>
        </w:rPr>
        <w:t xml:space="preserve"> ՆԱԽԱԴՊՐՈՑԱԿԱՆ ԼՐԱՑՈՒՑԻՉ ԵՎ ԱՅԼԸՆՏՐԱՆՔԱՅԻՆ ( ԲԱՑԱՌՈՒԹՅԱՄԲ ՄԻՋԱԶԳԱՅԻՆ) ԿՐԹԱԿԱՆ</w:t>
      </w:r>
      <w:r>
        <w:rPr/>
        <w:t xml:space="preserve"> </w:t>
      </w:r>
      <w:r>
        <w:rPr>
          <w:b w:val="1"/>
          <w:bCs w:val="1"/>
        </w:rPr>
        <w:t xml:space="preserve">ԾՐԱԳՐԻՆ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>
          <w:b w:val="1"/>
          <w:bCs w:val="1"/>
        </w:rPr>
        <w:t xml:space="preserve"> ՊԱՀԱՆՋՆԵՐԸ ԵՎ ՏԵՎՈՂՈՒԹՅՈՒՆԸ</w:t>
      </w:r>
    </w:p>
    <w:p>
      <w:pPr>
        <w:numPr>
          <w:ilvl w:val="0"/>
          <w:numId w:val="5"/>
        </w:numPr>
      </w:pPr>
      <w:r>
        <w:rPr/>
        <w:t xml:space="preserve">Բովանդակությանը ներկայացվող պահանջները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Լիցենզավորման ենթակա նախադպրոցական կրթական լրացուցիչ և այլընտրանքային ( բացառությամբ միջազգային) ծրագրերը (այսուհետ՝ ծրագիր) կարող են լինել համալիր (հիմնական) և ըստ կրթական առանձին բովանդակային բաղադրիչների:</w:t>
      </w:r>
    </w:p>
    <w:p>
      <w:pPr>
        <w:numPr>
          <w:ilvl w:val="0"/>
          <w:numId w:val="6"/>
        </w:numPr>
      </w:pPr>
      <w:r>
        <w:rPr/>
        <w:t xml:space="preserve">Ծրագրի անբաժանելի մասն է գործունեության տարբեր ձևերի հերթագայումը, խաղային և ուսումնական գործունեության հարաբերակցությունը տեսանելի դարձնող կանոնակարգը:</w:t>
      </w:r>
    </w:p>
    <w:p>
      <w:pPr>
        <w:numPr>
          <w:ilvl w:val="0"/>
          <w:numId w:val="6"/>
        </w:numPr>
      </w:pPr>
      <w:r>
        <w:rPr/>
        <w:t xml:space="preserve">Ծրագրով կարող են նախատեսվել երեխայի առօրյայի կազմակերպման ստորև նշված ձևերի կամ դրանցից որևէ մեկի կիրառումը`</w:t>
      </w:r>
    </w:p>
    <w:p>
      <w:pPr/>
      <w:r>
        <w:rPr/>
        <w:t xml:space="preserve">1) պարապմունքներ՝ որպես ուսուցման կազմակերպման հատուկ ձև.</w:t>
      </w:r>
    </w:p>
    <w:p>
      <w:pPr/>
      <w:r>
        <w:rPr/>
        <w:t xml:space="preserve">2) խաղային գործունեության տեսակներ.</w:t>
      </w:r>
    </w:p>
    <w:p>
      <w:pPr/>
      <w:r>
        <w:rPr/>
        <w:t xml:space="preserve">3) օրվա ընթացքում երեխայի ազատ ժամանակի տնօրինում:</w:t>
      </w:r>
    </w:p>
    <w:p>
      <w:pPr>
        <w:numPr>
          <w:ilvl w:val="0"/>
          <w:numId w:val="7"/>
        </w:numPr>
      </w:pPr>
      <w:r>
        <w:rPr/>
        <w:t xml:space="preserve">Ծրագրի բովանդակությունը կարող է ուղղված լինել զարգացման նշված մեկ կամ մի քանի հիմնական բնագավառների (ուղղությունների)՝</w:t>
      </w:r>
    </w:p>
    <w:p>
      <w:pPr/>
      <w:r>
        <w:rPr/>
        <w:t xml:space="preserve">1) խոսքի և հաղորդակցման, լեզվամտածողության, տրամաբանության, գրաճանաչության, ընդհանուր ճանաչողության զարգացում.</w:t>
      </w:r>
    </w:p>
    <w:p>
      <w:pPr/>
      <w:r>
        <w:rPr/>
        <w:t xml:space="preserve">2) հուզակամային և սոցիալ-անձնային զարգացում.</w:t>
      </w:r>
    </w:p>
    <w:p>
      <w:pPr/>
      <w:r>
        <w:rPr/>
        <w:t xml:space="preserve">3) շարժողական և ֆիզիկական զարգացում.</w:t>
      </w:r>
    </w:p>
    <w:p>
      <w:pPr/>
      <w:r>
        <w:rPr/>
        <w:t xml:space="preserve">4) աշխարհաճանաչման, ինքնուրույնության, ստեղծագործական ունակությունների և հնարամտության զարգացում.</w:t>
      </w:r>
    </w:p>
    <w:p>
      <w:pPr/>
      <w:r>
        <w:rPr/>
        <w:t xml:space="preserve">5) բարոյական, ազգային, էկոլոգիական, իրավական գիտակցության և մտածելակերպի զարգացում՝ արժեքային հիմունքների փոխանցմամբ:</w:t>
      </w:r>
    </w:p>
    <w:p>
      <w:pPr>
        <w:numPr>
          <w:ilvl w:val="0"/>
          <w:numId w:val="8"/>
        </w:numPr>
      </w:pPr>
      <w:r>
        <w:rPr/>
        <w:t xml:space="preserve">Ծրագրերին ներկայացվում են հետևյալ պահանջները՝</w:t>
      </w:r>
    </w:p>
    <w:p>
      <w:pPr/>
      <w:r>
        <w:rPr/>
        <w:t xml:space="preserve">1) համապատասխանությունը նախադպրոցական կրթության պետական կրթական չափորոշչին.</w:t>
      </w:r>
    </w:p>
    <w:p>
      <w:pPr/>
      <w:r>
        <w:rPr/>
        <w:t xml:space="preserve">2) կրթության աշխարհիկ բնույթը.</w:t>
      </w:r>
    </w:p>
    <w:p>
      <w:pPr/>
      <w:r>
        <w:rPr/>
        <w:t xml:space="preserve">3) երեխաների և մեծահասակների փոխգործունեության անհատակողմնորոշված (երեխայակենտրոն) մոտեցման ապահովումը.</w:t>
      </w:r>
    </w:p>
    <w:p>
      <w:pPr/>
      <w:r>
        <w:rPr/>
        <w:t xml:space="preserve">4) ազգային ավանդույթների և համամարդկային արժեքների զուգորդումը.</w:t>
      </w:r>
    </w:p>
    <w:p>
      <w:pPr/>
      <w:r>
        <w:rPr/>
        <w:t xml:space="preserve">5) նախադպրոցական կրթության բովանդակության մեջ երեխայի խոսքի, տրամաբանության, ֆիզիկական, մտավոր, գեղագիտական զարգացման, իրավունքներին և պարտականություններին, բնագիտության հիմունքներին ծանոթացման ներառումը:</w:t>
      </w:r>
    </w:p>
    <w:p>
      <w:pPr>
        <w:numPr>
          <w:ilvl w:val="0"/>
          <w:numId w:val="9"/>
        </w:numPr>
      </w:pPr>
      <w:r>
        <w:rPr/>
        <w:t xml:space="preserve">Ծրագիրը, որպես անբաժանելի մաս, պետք է ունենա թեմատիկ պլանավորում (Ձև 1):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Տևողությունը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Ծրագրի տևողությունը կարող է սահմանվել՝</w:t>
      </w:r>
    </w:p>
    <w:p>
      <w:pPr>
        <w:numPr>
          <w:ilvl w:val="0"/>
          <w:numId w:val="12"/>
        </w:numPr>
      </w:pPr>
      <w:r>
        <w:rPr/>
        <w:t xml:space="preserve">առավելագույնը 4 ժամ.</w:t>
      </w:r>
    </w:p>
    <w:p>
      <w:pPr>
        <w:numPr>
          <w:ilvl w:val="0"/>
          <w:numId w:val="12"/>
        </w:numPr>
      </w:pPr>
      <w:r>
        <w:rPr/>
        <w:t xml:space="preserve">5-ից 9 ժամ.</w:t>
      </w:r>
    </w:p>
    <w:p>
      <w:pPr>
        <w:numPr>
          <w:ilvl w:val="0"/>
          <w:numId w:val="12"/>
        </w:numPr>
      </w:pPr>
      <w:r>
        <w:rPr/>
        <w:t xml:space="preserve">12 ժամ:</w:t>
      </w:r>
    </w:p>
    <w:p>
      <w:pPr>
        <w:numPr>
          <w:ilvl w:val="0"/>
          <w:numId w:val="13"/>
        </w:numPr>
      </w:pPr>
      <w:r>
        <w:rPr/>
        <w:t xml:space="preserve">Ծրագիրը կարող է իրականացվել հետևյալ պլանավորմամբ (պարբերականությամբ)՝</w:t>
      </w:r>
    </w:p>
    <w:p>
      <w:pPr>
        <w:numPr>
          <w:ilvl w:val="0"/>
          <w:numId w:val="14"/>
        </w:numPr>
      </w:pPr>
      <w:r>
        <w:rPr/>
        <w:t xml:space="preserve">շաբաթվա ընթացքում 1-2 անգամ.</w:t>
      </w:r>
    </w:p>
    <w:p>
      <w:pPr>
        <w:numPr>
          <w:ilvl w:val="0"/>
          <w:numId w:val="14"/>
        </w:numPr>
      </w:pPr>
      <w:r>
        <w:rPr/>
        <w:t xml:space="preserve">շաբաթվա ընթացքում 3-4 անգամ.</w:t>
      </w:r>
    </w:p>
    <w:p>
      <w:pPr>
        <w:numPr>
          <w:ilvl w:val="0"/>
          <w:numId w:val="14"/>
        </w:numPr>
      </w:pPr>
      <w:r>
        <w:rPr/>
        <w:t xml:space="preserve">շաբաթվա ընթացքում 5-6 անգամ.</w:t>
      </w:r>
    </w:p>
    <w:p>
      <w:pPr>
        <w:numPr>
          <w:ilvl w:val="0"/>
          <w:numId w:val="14"/>
        </w:numPr>
      </w:pPr>
      <w:r>
        <w:rPr/>
        <w:t xml:space="preserve">Ծնողի հետ համաձայնեցված ժամանակացույցով: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Մարդկային ռեսուրսները և նյութատեխնիկական հագեցվածությունը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Ծրագրին համապատասխան որակավորմամբ (միջին մասնագիտական կամ բարձրագույն կրթությամբ) մասնագետ:</w:t>
      </w:r>
    </w:p>
    <w:p>
      <w:pPr>
        <w:numPr>
          <w:ilvl w:val="0"/>
          <w:numId w:val="16"/>
        </w:numPr>
      </w:pPr>
      <w:r>
        <w:rPr/>
        <w:t xml:space="preserve">Սանի կրթական և զարգացման գործունեությանն անմիջական աջակցող անձնակազմ:</w:t>
      </w:r>
    </w:p>
    <w:p>
      <w:pPr>
        <w:numPr>
          <w:ilvl w:val="0"/>
          <w:numId w:val="16"/>
        </w:numPr>
      </w:pPr>
      <w:r>
        <w:rPr/>
        <w:t xml:space="preserve">Ծրագրի բովանդակությանը համապատասխան նյութատեխնիկական բազա և տարածք: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 2</w:t>
      </w:r>
    </w:p>
    <w:p>
      <w:pPr>
        <w:jc w:val="end"/>
      </w:pPr>
      <w:r>
        <w:rPr/>
        <w:t xml:space="preserve">Կրթության, գիտության, մշակույթի և</w:t>
      </w:r>
    </w:p>
    <w:p>
      <w:pPr>
        <w:jc w:val="end"/>
      </w:pPr>
      <w:r>
        <w:rPr/>
        <w:t xml:space="preserve">սպորտի նախարարի 2022 թվականի</w:t>
      </w:r>
    </w:p>
    <w:p>
      <w:pPr>
        <w:jc w:val="end"/>
      </w:pPr>
      <w:r>
        <w:rPr/>
        <w:t xml:space="preserve">-ի   N  -Ն հրամանի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ԼԻՑԵՆԶԱՎՈՐՄԱՆ ԵՆԹԱԿԱ ՆԱԽԱԴՊՐՈՑԱԿԱՆ ԾԱՌԱՅՈՒԹՅԱՆԸ ՆԵՐԿԱՅԱՑՎՈՂ ՊԱՀԱՆՋՆԵՐԸ ԵՎ ՏԵՎՈՂՈՒԹՅՈՒՆԸ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7"/>
        </w:numPr>
      </w:pPr>
      <w:r>
        <w:rPr/>
        <w:t xml:space="preserve">Լիցենզավորման ենթակա նախադպրոցականծառայությունները (այսուհետ՝ ծառայություն) նախադպրոցական տարիքի երեխայի առողջության պահպանմանն ու ամրապնդմանը, խնամքին և հսկողությանը միտված ծառայություններ են, որոնք ապահովվում են սահմանված նորմատիվների առկայության պայմաններում՝ պայմանագրային հիմունքներով:</w:t>
      </w:r>
    </w:p>
    <w:p>
      <w:pPr>
        <w:numPr>
          <w:ilvl w:val="0"/>
          <w:numId w:val="17"/>
        </w:numPr>
      </w:pPr>
      <w:r>
        <w:rPr/>
        <w:t xml:space="preserve">Ծառայության տևողությունը կարող է սահմանվել՝</w:t>
      </w:r>
    </w:p>
    <w:p>
      <w:pPr>
        <w:numPr>
          <w:ilvl w:val="0"/>
          <w:numId w:val="18"/>
        </w:numPr>
      </w:pPr>
      <w:r>
        <w:rPr/>
        <w:t xml:space="preserve">մինչև 4 ժամ, եթե մատուցվում է միայն ծառայություն.</w:t>
      </w:r>
    </w:p>
    <w:p>
      <w:pPr>
        <w:numPr>
          <w:ilvl w:val="0"/>
          <w:numId w:val="18"/>
        </w:numPr>
      </w:pPr>
      <w:r>
        <w:rPr/>
        <w:t xml:space="preserve">Նախադպրոցական կրթական ծրագրի ողջ ընթացքում, եթե մատուցվում է այդ ծրագրի հետ համակցված:</w:t>
      </w:r>
    </w:p>
    <w:p>
      <w:pPr>
        <w:numPr>
          <w:ilvl w:val="0"/>
          <w:numId w:val="19"/>
        </w:numPr>
      </w:pPr>
      <w:r>
        <w:rPr/>
        <w:t xml:space="preserve">Նախադպրոցական ծառայության հաստատման համար ներկայացվող փաստաթղթերն են՝</w:t>
      </w:r>
    </w:p>
    <w:p>
      <w:pPr>
        <w:numPr>
          <w:ilvl w:val="0"/>
          <w:numId w:val="20"/>
        </w:numPr>
      </w:pPr>
      <w:r>
        <w:rPr/>
        <w:t xml:space="preserve">ծառայություն մատուցող մասնագետների թվի և կազմի վերաբերյալ տեղեկանք, որը պետք է ներառի վերջիններիս կրթությանև փորձառության վերաբերյալ ինքնակենսագրական տվյալներ` մատուցվող ծառայության ուղղվածությանը համապատասխան.</w:t>
      </w:r>
    </w:p>
    <w:p>
      <w:pPr>
        <w:numPr>
          <w:ilvl w:val="0"/>
          <w:numId w:val="20"/>
        </w:numPr>
      </w:pPr>
      <w:r>
        <w:rPr/>
        <w:t xml:space="preserve">համապատասխան նյութատեխնիկական հագեցվածության և տարածքի վերաբերյալ տեղեկանք.</w:t>
      </w:r>
    </w:p>
    <w:p>
      <w:pPr>
        <w:numPr>
          <w:ilvl w:val="0"/>
          <w:numId w:val="20"/>
        </w:numPr>
      </w:pPr>
      <w:r>
        <w:rPr/>
        <w:t xml:space="preserve">ծառայության իրականացման ժամանակացույց և պլան (Ձև 2):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                                                                                                             Ձև 1</w:t>
      </w:r>
    </w:p>
    <w:p>
      <w:pPr/>
      <w:r>
        <w:rPr/>
        <w:t xml:space="preserve"> </w:t>
      </w:r>
    </w:p>
    <w:p>
      <w:pPr/>
      <w:r>
        <w:rPr/>
        <w:t xml:space="preserve">Տարիքային խումբ                    ------------------</w:t>
      </w:r>
    </w:p>
    <w:p>
      <w:pPr/>
      <w:r>
        <w:rPr/>
        <w:t xml:space="preserve">Ծրագրի կազմման մանկավարժահոգեբանական հիմունքները՝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/>
      <w:r>
        <w:rPr/>
        <w:t xml:space="preserve"> </w:t>
      </w:r>
    </w:p>
    <w:tbl>
      <w:tblGrid>
        <w:gridCol w:w="6495" w:type="dxa"/>
        <w:gridCol w:w="4155" w:type="dxa"/>
      </w:tblGrid>
      <w:tblPr>
        <w:tblW w:w="0" w:type="auto"/>
        <w:tblLayout w:type="autofit"/>
      </w:tblPr>
      <w:tr>
        <w:trPr/>
        <w:tc>
          <w:tcPr>
            <w:tcW w:w="6495" w:type="dxa"/>
            <w:noWrap/>
          </w:tcPr>
          <w:p>
            <w:pPr/>
            <w:r>
              <w:rPr/>
              <w:t xml:space="preserve">Ծրագրի բաշխումը՝ ըստ ծրագրային բաղադրիչների</w:t>
            </w:r>
          </w:p>
        </w:tc>
        <w:tc>
          <w:tcPr>
            <w:tcW w:w="4155" w:type="dxa"/>
            <w:noWrap/>
          </w:tcPr>
          <w:p>
            <w:pPr/>
            <w:r>
              <w:rPr/>
              <w:t xml:space="preserve">Ժամաքանակը՝ շաբաթական կտրվածքով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1.     --------------------------------- թեմատիկ պլանավորում</w:t>
            </w:r>
          </w:p>
          <w:p>
            <w:pPr/>
            <w:r>
              <w:rPr/>
              <w:t xml:space="preserve">          (Ծրագրային բաղադրիչի անվանումը)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Թեմա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Նպատակ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Վերջնարդյունք(ներ)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Մեթոդներ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6495" w:type="dxa"/>
        <w:gridCol w:w="4155" w:type="dxa"/>
      </w:tblGrid>
      <w:tblPr>
        <w:tblW w:w="0" w:type="auto"/>
        <w:tblLayout w:type="autofit"/>
      </w:tblPr>
      <w:tr>
        <w:trPr/>
        <w:tc>
          <w:tcPr>
            <w:tcW w:w="64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-------------------------------    թեմատիկ պլանավորում</w:t>
            </w:r>
          </w:p>
          <w:p>
            <w:pPr/>
            <w:r>
              <w:rPr/>
              <w:t xml:space="preserve">(Ծրագրային բաղադրիչի անվանումը)</w:t>
            </w:r>
          </w:p>
        </w:tc>
        <w:tc>
          <w:tcPr>
            <w:tcW w:w="4155" w:type="dxa"/>
            <w:noWrap/>
          </w:tcPr>
          <w:p>
            <w:pPr/>
            <w:r>
              <w:rPr/>
              <w:t xml:space="preserve">Ժամաքանակը ՝  շաբաթական կտրվածքով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1.     Թեմա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Նպատակ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Վերջնարդյունք(ներ)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Մեթոդներ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                                  Գրականության ցանկ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               Ձև  2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Տարիքային խումբ                    ------------------</w:t>
      </w:r>
    </w:p>
    <w:p>
      <w:pPr/>
      <w:r>
        <w:rPr/>
        <w:t xml:space="preserve"> </w:t>
      </w:r>
    </w:p>
    <w:tbl>
      <w:tblGrid>
        <w:gridCol w:w="6495" w:type="dxa"/>
        <w:gridCol w:w="4155" w:type="dxa"/>
      </w:tblGrid>
      <w:tblPr>
        <w:tblW w:w="0" w:type="auto"/>
        <w:tblLayout w:type="autofit"/>
      </w:tblPr>
      <w:tr>
        <w:trPr/>
        <w:tc>
          <w:tcPr>
            <w:tcW w:w="6495" w:type="dxa"/>
            <w:noWrap/>
          </w:tcPr>
          <w:p>
            <w:pPr/>
            <w:r>
              <w:rPr/>
              <w:t xml:space="preserve">Ծառայության տեսակը՝</w:t>
            </w:r>
          </w:p>
        </w:tc>
        <w:tc>
          <w:tcPr>
            <w:tcW w:w="4155" w:type="dxa"/>
            <w:noWrap/>
          </w:tcPr>
          <w:p>
            <w:pPr/>
            <w:r>
              <w:rPr/>
              <w:t xml:space="preserve">Տևողություն/քանակ՝ օրական կտրվածքով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1.     Խնամք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2.    Հսկողություն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3.    Սննդի կազմակերպում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4.    Տրանսպորտային ծառայություն, տեղափոխում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     5.  Այլ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FFA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1D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391A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BB3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0AB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6B20C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8D983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06AB8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E39DF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7DC8F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0F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D5247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A6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63215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93E6A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874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14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0461D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B13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2026-04-06T03:35:53+04:00</dcterms:created>
  <dcterms:modified xsi:type="dcterms:W3CDTF">2026-04-06T03:35:53+04:00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