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2015 ԹՎԱԿԱՆԻ ՀՈՒՆԻՍԻ 4-Ի N 592-Ն ՈՐՈՇՄԱՆ ՄԵՋ ԼՐԱՑՈՒՄՆԵՐ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ՎԱՐՉԱՊԵՏ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ՈՐՈՇՈՒՄ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_____ __________ 2022 թվականի N ___-Ն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ՀՈՒՆԻՍԻ 4-Ի N 592-Ն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հունիսի 4-ի «Ժամանակավոր պահպանության պահեստներին և մաքսային պահեստներին ներկայացվող </w:t>
      </w:r>
      <w:r>
        <w:rPr>
          <w:b w:val="1"/>
          <w:bCs w:val="1"/>
        </w:rPr>
        <w:t xml:space="preserve">պահանջները սահմանելու մասին» N 592-Ն որոշումը</w:t>
      </w:r>
      <w:r>
        <w:rPr/>
        <w:t xml:space="preserve"> լրացնել հետևյալ բովանդակությամբ 1.1., 1.2. և 1.3. կետերով.</w:t>
      </w:r>
    </w:p>
    <w:p>
      <w:pPr/>
      <w:r>
        <w:rPr/>
        <w:t xml:space="preserve">«1.1. Սահմանել, որ «Մաքսային կարգավորման մասին» օրենքի 39-րդ հոդվածի 2-րդ և 44-րդ հոդվածի 2-րդ մասերով նախատեսված պահանջներին համապատասխանությունը հաստատվում է հետևյալ մարմինների կողմից՝</w:t>
      </w:r>
    </w:p>
    <w:p>
      <w:pPr/>
      <w:r>
        <w:rPr/>
        <w:t xml:space="preserve">1) սանիտարահիգիենիկ պատշաճ պայմանների համապատասխանության ոլորտում՝ Հայաստանի Հանրապետության բնակչության սանիտարահամաճարակային անվտանգության ապահովման և հանրային առողջության բնագավառում գործունեություն իրականացնող պետական կազմակերպությունը, իսկ սննդամթերքի անվտանգության ոլորտում` Հայաստանի Հանրապետության սննդամթերքի անվտանգության տեսչական մարմինը.</w:t>
      </w:r>
    </w:p>
    <w:p>
      <w:pPr/>
      <w:r>
        <w:rPr/>
        <w:t xml:space="preserve">2) շինու­թյունների պահպանության պահնորդաազդանշանային համակարգի առկայության և գործունեության ոլորտում՝ Հայաստանի Հանրապետության ոստիկանությունը․</w:t>
      </w:r>
    </w:p>
    <w:p>
      <w:pPr/>
      <w:r>
        <w:rPr/>
        <w:t xml:space="preserve">3) շինու­թյունների հրդեհային անվտանգության համակարգի առկայության և գործունեության և շինությունների նպատակային նշանակությամբ շահագործման անվտանգության պահանջ­ների պահպանման ոլորտում՝ Հայաստանի Հանրապետության քաղաքաշինության, տեխնիկական և հրդեհային անվտանգության տեսչական մարմինը։</w:t>
      </w:r>
    </w:p>
    <w:p>
      <w:pPr/>
      <w:r>
        <w:rPr/>
        <w:t xml:space="preserve">1․2. Սույն որոշման 1․1. կետով սահմանված՝ պահանջների համապատասխանության հաստատումն իրականացվում է կազմակերպությունների կողմից ժամանակավոր պահպանության պահեստների և մաքսային պահեստների ռեեստրներում գրանցվելու համար դիմումի ներկայացման ժամանակ, ինչպես նաև տարեկան պարբերականությամբ՝ մինչև յուրաքանչյուր տարվա առաջին եռամսյակի ավարտը։</w:t>
      </w:r>
    </w:p>
    <w:p>
      <w:pPr/>
      <w:r>
        <w:rPr/>
        <w:t xml:space="preserve">1.3. Սույն որոշման 1․1. կետով սահմանված՝ պահանջների համապատասխանության հաստատումն իրականացվում է նույն կետում նշված մարմինների կողմից անցկացվող հետազոտության կամ ստուգման արդյունքներով՝ նույն մարմինների կողմից տրամադրված եզրակացությունների հիման վրա։»։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numPr>
          <w:ilvl w:val="0"/>
          <w:numId w:val="3"/>
        </w:numPr>
      </w:pPr>
      <w:r>
        <w:rPr/>
        <w:t xml:space="preserve">Ժամանակավոր պահպանության պահեստների և մաքսային պահեստների ռեեստրներում մինչև սույն որոշման ուժի մեջ մտնելը գրանցված անձինք 3 ամսվա ընթացքում պետք է իրականացնեն սույն որոշմամբ սահմանված հաստատումը։</w:t>
      </w:r>
    </w:p>
    <w:p>
      <w:pPr/>
      <w:r>
        <w:rPr/>
        <w:t xml:space="preserve">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ՀԱՅԱՍՏԱՆԻ ՀԱՆՐԱՊԵՏՈՒԹՅԱՆ</w:t>
      </w:r>
    </w:p>
    <w:p>
      <w:pPr>
        <w:jc w:val="both"/>
      </w:pPr>
      <w:r>
        <w:rPr/>
        <w:t xml:space="preserve">                 ՎԱՐՉԱՊԵՏ                                                                   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EC9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8F52B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2026-03-31T04:59:18+04:00</dcterms:created>
  <dcterms:modified xsi:type="dcterms:W3CDTF">2026-03-31T04:59:18+04:00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