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ՉԱՓՈՒՄՆԵՐԻ ՄԻԱՍՆԱԿԱՆՈՒԹՅԱՆ ԱՊԱՀՈՎՄԱՆ ՄԱՍԻՆ ՕՐԵՆՔՈՒՄ ԼՐԱՑՈՒՄՆԵՐ ԵՎ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pStyle w:val="Heading2"/>
      </w:pPr>
      <w:r>
        <w:rPr>
          <w:b w:val="1"/>
          <w:bCs w:val="1"/>
        </w:rPr>
        <w:t xml:space="preserve"> </w:t>
      </w:r>
    </w:p>
    <w:p>
      <w:pPr>
        <w:pStyle w:val="Heading2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pStyle w:val="Heading3"/>
      </w:pPr>
      <w:r>
        <w:rPr>
          <w:b w:val="1"/>
          <w:bCs w:val="1"/>
        </w:rPr>
        <w:t xml:space="preserve">ՉԱՓՈՒՄՆԵՐԻ ՄԻԱՍՆԱԿԱՆՈՒԹՅԱՆ ԱՊԱՀՈՎՄԱՆ ՄԱՍԻՆ ՕՐԵՆՔՈՒՄ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«Չափումների միասնականության ապահովման մասին» 2012 թվականի փետրվարի 8-ի ՀՕ-22-Ն օրենքի այսուհետ՝ Օրենք 2-րդ հոդվածի`</w:t>
      </w:r>
    </w:p>
    <w:p>
      <w:pPr>
        <w:numPr>
          <w:ilvl w:val="0"/>
          <w:numId w:val="2"/>
        </w:numPr>
      </w:pPr>
      <w:r>
        <w:rPr/>
        <w:t xml:space="preserve">1-ին մասը լրացնել հետևյալ բովանդակությամբ նոր 11․1)-ին, 13.1)-ին, 13.2)-րդ և 13.3)-րդ կետերով.</w:t>
      </w:r>
    </w:p>
    <w:p>
      <w:pPr/>
      <w:r>
        <w:rPr/>
        <w:t xml:space="preserve">«11.1) </w:t>
      </w:r>
      <w:r>
        <w:rPr>
          <w:b w:val="1"/>
          <w:bCs w:val="1"/>
        </w:rPr>
        <w:t xml:space="preserve">չափման միջոցի չափագիտական վկայագրում՝</w:t>
      </w:r>
      <w:r>
        <w:rPr/>
        <w:t xml:space="preserve"> եզակի օրինակով արտադրված չափման միջոցի կամ իր կազմում մեկից ավելի չափիչ սարք ունեցող համալիրի կամ լրացուցիչ սարքերի հետ համատեղ աշխատող չափման միջոցների համալիրի ստուգաչափում․»</w:t>
      </w:r>
    </w:p>
    <w:p>
      <w:pPr/>
      <w:r>
        <w:rPr/>
        <w:t xml:space="preserve">«13.1) </w:t>
      </w:r>
      <w:r>
        <w:rPr>
          <w:b w:val="1"/>
          <w:bCs w:val="1"/>
        </w:rPr>
        <w:t xml:space="preserve">չափման մեթոդ</w:t>
      </w:r>
      <w:r>
        <w:rPr/>
        <w:t xml:space="preserve">՝ չափման գործողությունների տրամաբանական հաջորդականության ընդհանուր նկարագրություն․»:</w:t>
      </w:r>
    </w:p>
    <w:p>
      <w:pPr/>
      <w:r>
        <w:rPr/>
        <w:t xml:space="preserve">«13.2) </w:t>
      </w:r>
      <w:r>
        <w:rPr>
          <w:b w:val="1"/>
          <w:bCs w:val="1"/>
        </w:rPr>
        <w:t xml:space="preserve">չափման մեթոդիկա</w:t>
      </w:r>
      <w:r>
        <w:rPr/>
        <w:t xml:space="preserve">՝ չափման մեկ կամ մի քանի մեթոդի համաձայն՝ չափման մանրամասն նկարագիր, որը ներառում է չափման արդյունքի ստացման համար անհրաժեշտ հաշվարկները․»։</w:t>
      </w:r>
    </w:p>
    <w:p>
      <w:pPr/>
      <w:r>
        <w:rPr/>
        <w:t xml:space="preserve">«13.3) </w:t>
      </w:r>
      <w:r>
        <w:rPr>
          <w:b w:val="1"/>
          <w:bCs w:val="1"/>
        </w:rPr>
        <w:t xml:space="preserve">չափման ռեֆերենս (ելակետային, էտալոնային, հղումային, արբիտրաժային) մեթոդիկա</w:t>
      </w:r>
      <w:r>
        <w:rPr/>
        <w:t xml:space="preserve">՝ չափման վկայագրված մեթոդիկա, որը կիրառվում է միևնույն տեսակի մեծությունների այլ տարբեր մեթոդիկաներով չափումներից ստացված արդյունքների հավաստիության գնահատման, ինչպես նաև տրամաչափարկման կամ ստանդարտ նմուշների բնութագրերի որոշման համար․»։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 </w:t>
      </w:r>
      <w:r>
        <w:rPr/>
        <w:t xml:space="preserve">Օրենքի 8-րդ հոդվածը շարադրել հետևյալ խմբագրությամբ.</w:t>
      </w:r>
    </w:p>
    <w:p>
      <w:pPr/>
      <w:r>
        <w:rPr/>
        <w:t xml:space="preserve">«1․ Չափման ռեֆերենս (ելակետային, էտալոնային, հղումային, արբիտրաժային) մեթոդիկաները և օրենսդրական չափագիտության տարածման ոլորտներում կիրառվող չափումների բոլոր մեթոդիկաները ենթակա են չափագիտական վկայագրման:»։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Օրենքի 9-րդ հոդվածի.</w:t>
      </w:r>
    </w:p>
    <w:p>
      <w:pPr>
        <w:numPr>
          <w:ilvl w:val="0"/>
          <w:numId w:val="3"/>
        </w:numPr>
      </w:pPr>
      <w:r>
        <w:rPr/>
        <w:t xml:space="preserve">2-րդ մասն ուժը կորցրած ճանաչել․</w:t>
      </w:r>
    </w:p>
    <w:p>
      <w:pPr>
        <w:numPr>
          <w:ilvl w:val="0"/>
          <w:numId w:val="3"/>
        </w:numPr>
      </w:pPr>
      <w:r>
        <w:rPr/>
        <w:t xml:space="preserve">3-րդ մասի «կառավարության սահմանած» բառերը փոխարինել «օրենսդրությամբ սահմանված» բառերով ։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Օրենքի 10-րդ հոդվածի 2-րդ մասի․</w:t>
      </w:r>
    </w:p>
    <w:p>
      <w:pPr>
        <w:numPr>
          <w:ilvl w:val="0"/>
          <w:numId w:val="4"/>
        </w:numPr>
      </w:pPr>
      <w:r>
        <w:rPr/>
        <w:t xml:space="preserve">5)-րդ կետը շարադրել հետևյալ խմբագրությամբ.</w:t>
      </w:r>
    </w:p>
    <w:p>
      <w:pPr/>
      <w:r>
        <w:rPr/>
        <w:t xml:space="preserve">«5) սահմանում է տեսակը հաստատված չափման միջոցների գրանցամատյանի ձևը և վարման կարգը.»։</w:t>
      </w:r>
    </w:p>
    <w:p>
      <w:pPr>
        <w:numPr>
          <w:ilvl w:val="0"/>
          <w:numId w:val="5"/>
        </w:numPr>
      </w:pPr>
      <w:r>
        <w:rPr/>
        <w:t xml:space="preserve">6)-րդ կետը շարադրել հետևյալ խմբագրությամբ.</w:t>
      </w:r>
    </w:p>
    <w:p>
      <w:pPr/>
      <w:r>
        <w:rPr/>
        <w:t xml:space="preserve">«6) սահմանում է չափման միջոցի ստուգաչափման վկայականի ձևը, ստուգաչափման դրոշմի արտատիպի պատկերը և չափման միջոցը ոչ պիտանի ճանաչելու ծանուցագրի ձևը․»։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Օրենքի 11-րդ հոդվածի 2-րդ մասի՝</w:t>
      </w:r>
    </w:p>
    <w:p>
      <w:pPr>
        <w:numPr>
          <w:ilvl w:val="0"/>
          <w:numId w:val="6"/>
        </w:numPr>
      </w:pPr>
      <w:r>
        <w:rPr/>
        <w:t xml:space="preserve">8)-րդ կետը շարադրել հետևյալ խմբագրությամբ․</w:t>
      </w:r>
    </w:p>
    <w:p>
      <w:pPr/>
      <w:r>
        <w:rPr/>
        <w:t xml:space="preserve">«8) սահմանում է չափումների ռեֆերենս մեթոդիկաների և օրենսդրական չափագիտության տարածման ոլորտներում կիրառվող չափումների մեթոդիկաների վկայագրման կարգերը և իրականացնում է դրանց վկայագրումը.»։</w:t>
      </w:r>
    </w:p>
    <w:p>
      <w:pPr>
        <w:numPr>
          <w:ilvl w:val="0"/>
          <w:numId w:val="7"/>
        </w:numPr>
      </w:pPr>
      <w:r>
        <w:rPr/>
        <w:t xml:space="preserve">10․1)-ին կետն ուժը կորցրած ճանաչել։</w:t>
      </w:r>
    </w:p>
    <w:p>
      <w:pPr>
        <w:numPr>
          <w:ilvl w:val="0"/>
          <w:numId w:val="7"/>
        </w:numPr>
      </w:pPr>
      <w:r>
        <w:rPr/>
        <w:t xml:space="preserve">11)-րդ կետում «վարում է» բառերից հետո լրացնել «տեսակը» բառը։</w:t>
      </w:r>
    </w:p>
    <w:p>
      <w:pPr>
        <w:numPr>
          <w:ilvl w:val="0"/>
          <w:numId w:val="7"/>
        </w:numPr>
      </w:pPr>
      <w:r>
        <w:rPr/>
        <w:t xml:space="preserve">13)-րդ կետը շարադրել հետևյալ խմբագրությամբ․</w:t>
      </w:r>
    </w:p>
    <w:p>
      <w:pPr/>
      <w:r>
        <w:rPr/>
        <w:t xml:space="preserve">«13) իրականացնում է չափման միջոցների ստուգաչափում, չափագիտական վկայագրում․»։</w:t>
      </w:r>
    </w:p>
    <w:p>
      <w:pPr/>
      <w:r>
        <w:rPr/>
        <w:t xml:space="preserve">14)-րդ կետը շարադրել հետևյալ խմբագրությամբ․</w:t>
      </w:r>
    </w:p>
    <w:p>
      <w:pPr/>
      <w:r>
        <w:rPr/>
        <w:t xml:space="preserve">«14) Չափումների միասնականության ապահովման բնագավառում՝</w:t>
      </w:r>
    </w:p>
    <w:p>
      <w:pPr/>
      <w:r>
        <w:rPr/>
        <w:t xml:space="preserve">ա) իրականացնում է կադրերի ուսուցում, մասնագիտացում, վերապատրաստում, օրենսդրական չափագիտության ոլորտում ստուգաչափող մասնագետների ուսուցում, տրամաչափարկման և փորձարկման լաբորատորիաների անձնակազմի վերապատրաստում, հավատարմագրման փորձագետների ուսուցում և շնորհում է համապատասխան վկայագրեր.</w:t>
      </w:r>
    </w:p>
    <w:p>
      <w:pPr/>
      <w:r>
        <w:rPr/>
        <w:t xml:space="preserve">բ) սահմանում է փորձարկման սարքավորումների վկայագրման կարգը և իրականացնում է դրանց վկայագրում․</w:t>
      </w:r>
    </w:p>
    <w:p>
      <w:pPr/>
      <w:r>
        <w:rPr/>
        <w:t xml:space="preserve">գ) կատարում է չափումներ․»։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 Օրենքի 12-րդ հոդվածի՝</w:t>
      </w:r>
    </w:p>
    <w:p>
      <w:pPr>
        <w:numPr>
          <w:ilvl w:val="0"/>
          <w:numId w:val="8"/>
        </w:numPr>
      </w:pPr>
      <w:r>
        <w:rPr/>
        <w:t xml:space="preserve">1-ին մասը շարադրել հետևյալ խմբագրությամբ.</w:t>
      </w:r>
    </w:p>
    <w:p>
      <w:pPr/>
      <w:r>
        <w:rPr/>
        <w:t xml:space="preserve"> «1. Կառավարման խորհուրդը (այսուհետ` Խորհուրդ) Չափագիտության ազգային մարմնի կառավարման մարմինն է, որը կազմված է 9 անդամներից` ստանդարտացման և չափագիտության գերակա ոլորտներում ներգրավված շահագրգիռ հանրային ծառայության պաշտոն զբաղեցնող 5 անձանցից և ոչ պետական կազմակերպությունների 4 ներկայացուցիչներից:»։</w:t>
      </w:r>
    </w:p>
    <w:p>
      <w:pPr>
        <w:numPr>
          <w:ilvl w:val="0"/>
          <w:numId w:val="9"/>
        </w:numPr>
      </w:pPr>
      <w:r>
        <w:rPr/>
        <w:t xml:space="preserve">7-րդ մասը շարադրել հետևյալ խմբագրությամբ.</w:t>
      </w:r>
    </w:p>
    <w:p>
      <w:pPr/>
      <w:r>
        <w:rPr/>
        <w:t xml:space="preserve">«7. Խորհրդի նիստերի որոշումներն ընդունվում են նիստին ներկա անդամների ձայների պարզ մեծամասնությամբ: Խորհրդի նիստերը կարող են անցկացվել նաև հեռավար՝ առցանց ռեժիմով: Հեռավար նիստերի ժամանակ քվեարկությունը կատարվում է էլեկտրոնային հաղորդակցման միջոցներով: Նիստին ներկա անդամների ձայների հավասարության դեպքում Խորհրդի նախագահի ձայնը վճռորոշ է:»։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․</w:t>
      </w:r>
      <w:r>
        <w:rPr/>
        <w:t xml:space="preserve"> Օրենքի 13-րդ հոդվածի 1-ին մասի 6)-րդ կետն ուժը կորցրած ճանաչել։</w:t>
      </w:r>
    </w:p>
    <w:p>
      <w:pPr/>
      <w:r>
        <w:rPr>
          <w:b w:val="1"/>
          <w:bCs w:val="1"/>
        </w:rPr>
        <w:t xml:space="preserve">Հոդված 8</w:t>
      </w:r>
      <w:r>
        <w:rPr>
          <w:b w:val="1"/>
          <w:bCs w:val="1"/>
        </w:rPr>
        <w:t xml:space="preserve">․</w:t>
      </w:r>
      <w:r>
        <w:rPr/>
        <w:t xml:space="preserve"> Օրենքի 15-րդ հոդվածի 5-րդ մասում «կարգը» բառից հետո լրացնել «, ինչպես նաև տեսակի հաստատման սերտիֆիկատի ձևը և դրա գործողության ժամկետը» բառերը։</w:t>
      </w:r>
    </w:p>
    <w:p>
      <w:pPr/>
      <w:r>
        <w:rPr>
          <w:b w:val="1"/>
          <w:bCs w:val="1"/>
        </w:rPr>
        <w:t xml:space="preserve">Հոդված 9. </w:t>
      </w:r>
      <w:r>
        <w:rPr/>
        <w:t xml:space="preserve">Օրենքի 16-րդ հոդվածի 11-րդ մասի «կառավարության սահմանած» բառերը փոխարինել «օրենսդրությամբ սահմանված» բառերով։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10. Անցումային դրույթներ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Սույն օրենքն մեջ է մտնում պաշտոնական հրապարակման օրվան հաջորդող տասներորդ օրը:</w:t>
      </w:r>
    </w:p>
    <w:p>
      <w:pPr>
        <w:numPr>
          <w:ilvl w:val="0"/>
          <w:numId w:val="10"/>
        </w:numPr>
      </w:pPr>
      <w:r>
        <w:rPr/>
        <w:t xml:space="preserve">Սույն օրենքի ընդունմամբ պայմանավորված՝ համապատասխան ենթաօրենսդրական իրավական ակտերն ընդունվում են սույն օրենքն ուժի մեջ մտնելուց հետո՝ երեք ամսվա ընթացքում: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972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2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C8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5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F2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FE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2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EAF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7E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2026-03-31T19:23:54+04:00</dcterms:created>
  <dcterms:modified xsi:type="dcterms:W3CDTF">2026-03-31T19:23:54+04:00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