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ՎԱՐՉԱՊԵՏԻ 2012 ԹՎԱԿԱՆԻ ԴԵԿՏԵՄԲԵՐԻ 28-Ի N 1295-Ն ՈՐՈՇՄԱՆ ՄԵՋ ՓՈՓՈԽՈՒԹՅՈՒՆ ԵՎ ԼՐԱՑՈՒՄՆԵՐ ԿԱՏԱՐԵԼՈՒ ՄԱՍԻՆ ՀՀ ՎԱՐՉԱՊԵՏԻ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ՆԱԽԱԳԻԾ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ՎԱՐՉԱՊԵՏ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«----» «------------------» 2022 թվականի N ------Ն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ՎԱՐՉԱՊԵՏԻ 2012 ԹՎԱԿԱՆԻ ԴԵԿՏԵՄԲԵՐԻ 28-Ի N 1295-Ն ՈՐՈՇՄԱՆ ՄԵՋ ՓՈՓՈԽՈՒԹՅՈՒՆ ԵՎ ԼՐԱՑՈՒՄՆԵՐ ԿԱՏԱՐԵԼՈՒ ՄԱՍԻ</w:t>
      </w:r>
      <w:r>
        <w:rPr/>
        <w:t xml:space="preserve">Ն </w:t>
      </w:r>
    </w:p>
    <w:p>
      <w:pPr/>
      <w:r>
        <w:rPr/>
        <w:t xml:space="preserve">Համաձայն «Նորմատիվ իրավական ակտերի մասին» օրենքի 33-րդ և 34-րդ հոդվածներով՝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վարչապետի 2012 թվականի դեկտեմբերի 28-ի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Երեխաների իրավունքների պաշտպանության ազգային հանձնաժողով ստեղծելու, հանձնաժողովի կանոնադրությունը և անհատական կազմը հաստատելու և Հայաստանի Հանրապետության վարչապետի 2005 թվականի հոկտեմբերի 28-ի N 835-Ն որոշումն ուժը կորցրած ճանաչելու մասին</w:t>
      </w:r>
      <w:r>
        <w:rPr>
          <w:b w:val="1"/>
          <w:bCs w:val="1"/>
        </w:rPr>
        <w:t xml:space="preserve">»</w:t>
      </w:r>
      <w:r>
        <w:rPr/>
        <w:t xml:space="preserve"> N 1295-Ն որոշման՝</w:t>
      </w:r>
    </w:p>
    <w:p>
      <w:pPr>
        <w:jc w:val="both"/>
      </w:pPr>
      <w:r>
        <w:rPr/>
        <w:t xml:space="preserve">1) նախաբանը «Համաձայն» բառից հետո լրացնել «Կառավարության կառուցվածքի և գործունեության մասին» օրենքի 7-րդ հոդվածի 16-րդ մասի և» բառերը:</w:t>
      </w:r>
    </w:p>
    <w:p>
      <w:pPr/>
      <w:r>
        <w:rPr/>
        <w:t xml:space="preserve">2) N 1 հավելվածի 8-րդ կետում «աշխատանքային խմբեր» բառերից հետո լրացնել «, ինչպես նաև երեխաների մասնակցությամբ խորհուրդ» բառերը։</w:t>
      </w:r>
    </w:p>
    <w:p>
      <w:pPr/>
      <w:r>
        <w:rPr/>
        <w:t xml:space="preserve">3) N 2 հավելվածը շարադրել նոր խմբագրությամբ` համաձայն հավելվածի:</w:t>
      </w:r>
    </w:p>
    <w:p>
      <w:pPr/>
      <w:r>
        <w:rPr/>
        <w:t xml:space="preserve">  </w:t>
      </w:r>
    </w:p>
    <w:tbl>
      <w:tblGrid>
        <w:gridCol w:w="4515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15" w:type="dxa"/>
            <w:noWrap/>
          </w:tcPr>
          <w:p>
            <w:pPr/>
            <w:r>
              <w:rPr/>
              <w:t xml:space="preserve">Հայաստանի Հանրապետության</w:t>
            </w:r>
            <w:br/>
            <w:r>
              <w:rPr/>
              <w:t xml:space="preserve"> վարչապետ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Ն. Փաշինյան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10620" w:type="dxa"/>
      </w:tblGrid>
      <w:tblPr>
        <w:tblW w:w="5000" w:type="pct"/>
        <w:tblLayout w:type="autofit"/>
      </w:tblPr>
      <w:tr>
        <w:trPr/>
        <w:tc>
          <w:tcPr>
            <w:tcW w:w="10620" w:type="dxa"/>
            <w:noWrap/>
          </w:tcPr>
          <w:p>
            <w:pPr/>
            <w:r>
              <w:rPr/>
              <w:t xml:space="preserve">Հավելված </w:t>
            </w:r>
            <w:br/>
            <w:r>
              <w:rPr/>
              <w:t xml:space="preserve">  ՀՀ վարչապետի 2022 թ.</w:t>
            </w:r>
            <w:br/>
            <w:r>
              <w:rPr/>
              <w:t xml:space="preserve"> ------------------    -ի N       -Ն որոշման</w:t>
            </w:r>
          </w:p>
        </w:tc>
      </w:tr>
    </w:tbl>
    <w:p>
      <w:pPr/>
      <w:r>
        <w:rPr/>
        <w:t xml:space="preserve"> </w:t>
      </w:r>
    </w:p>
    <w:tbl>
      <w:tblGrid>
        <w:gridCol w:w="5000" w:type="dxa"/>
        <w:gridCol w:w="4515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15" w:type="dxa"/>
            <w:noWrap/>
          </w:tcPr>
          <w:p>
            <w:pPr/>
            <w:r>
              <w:rPr/>
              <w:t xml:space="preserve">«Հավելված N 2</w:t>
            </w:r>
          </w:p>
          <w:p>
            <w:pPr/>
            <w:r>
              <w:rPr/>
              <w:t xml:space="preserve"> ՀՀ վարչապետի 2012 թ.</w:t>
            </w:r>
          </w:p>
          <w:p>
            <w:pPr/>
            <w:r>
              <w:rPr/>
              <w:t xml:space="preserve"> դեկտեմբերի 28-ի N 1295-Ն որոշման</w:t>
            </w:r>
          </w:p>
        </w:tc>
      </w:tr>
    </w:tbl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ԱՆՀԱՏԱԿԱՆ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ԿԱԶՄ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ԵՐԵԽԱՆԵՐԻ ԻՐԱՎՈՒՆՔՆԵՐԻ ՊԱՇՏՊԱՆՈՒԹՅԱՆ ԱԶԳԱՅԻՆ ՀԱՆՁՆԱԺՈՂՈՎԻ</w:t>
      </w:r>
    </w:p>
    <w:p>
      <w:pPr/>
      <w:r>
        <w:rPr/>
        <w:t xml:space="preserve"> </w:t>
      </w:r>
    </w:p>
    <w:tbl>
      <w:tblGrid>
        <w:gridCol w:w="0" w:type="dxa"/>
        <w:gridCol w:w="0" w:type="dxa"/>
      </w:tblGrid>
      <w:tblPr>
        <w:tblW w:w="0" w:type="dxa"/>
        <w:tblLayout w:type="autofit"/>
      </w:tblP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- ՀՀ աշխատանքի և սոցիալական հարցերի նախարար (հանձնաժողովի նախագահ)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- ՀՀ աշխատանքի և սոցիալական հարցերի նախարարի տեղակալ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- ՀՀ կրթության, գիտության, մշակույթի և սպորտի նախարարի տեղակալ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- ՀՀ արդարադատության նախարարի տեղակալ</w:t>
            </w:r>
          </w:p>
          <w:p>
            <w:pPr/>
            <w:r>
              <w:rPr/>
              <w:t xml:space="preserve">-ՀՀ ոստիկանության պետի տեղակալ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- ՀՀ տարածքային կառավարման և ենթակառուցվածքների նախարարի տեղակալ</w:t>
            </w:r>
          </w:p>
          <w:p>
            <w:pPr/>
            <w:r>
              <w:rPr/>
              <w:t xml:space="preserve">-ՀՀ առողջապահության նախարարի տեղակալ</w:t>
            </w:r>
          </w:p>
          <w:p>
            <w:pPr/>
            <w:r>
              <w:rPr/>
              <w:t xml:space="preserve">- ՀՀ մարդու իրավունքների պաշտպանի գրասենյակի դեպարտամենտի ղեկավար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- ՀՀ աշխատանքի և սոցիալական հարցերի նախարարության հավասար հնարավորությունների ապահովման վարչության պետ</w:t>
            </w:r>
          </w:p>
          <w:p>
            <w:pPr/>
            <w:r>
              <w:rPr/>
              <w:t xml:space="preserve">- ՀՀ աշխատանքի և սոցիալական հարցերի նախարարության հավասար հնարավորությունների ապահովման վարչության երեխաների հիմնահարցերի բաժնի պետ (հանձնաժողովի քարտուղար)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Մ. Անտոնյան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- «Երեխաների աջակցության կենտրոն» հիմնադրամի գործադիր տնօրեն (համաձայնությամբ)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Ն. Աֆանեսյան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- «Հայաստանի մանուկներ» բարեգործական հիմնադրամի սոցիալական աշխատանքի համակարգող» (համաձայնությամբ)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Հ. Սարգսյան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- «Հայկական կարիտաս» բարեսիրական հասարակական կազմակերպության ծրագրի ղեկավար (համաձայնությամբ)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Լ. Սիմոնյան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- Մանկական զարգացման հիմնադրամի տնօրեն (համաձայնությամբ)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Ս. Սարգսյան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- «ՍՕՍ Մանկական Գյուղեր» հայկական բարեգործական հիմնադրամի ազգային տնօրեն (համաձայնությամբ)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Վ. Սեդրակյան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- «Հայաստանի մանկական ասոցիացիա» բարեգործական հասարակական կազմակերպության տնօրեն (համաձայնությամբ)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Ա. Մուրադյան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-Հասանելի համայնքային սոցիալական ծառայություններ» ծրագրի գլխավոր հանձնակատար», (համաձայնությամբ)»:</w:t>
            </w:r>
          </w:p>
        </w:tc>
      </w:tr>
    </w:tbl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31DE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2026-04-06T03:34:42+04:00</dcterms:created>
  <dcterms:modified xsi:type="dcterms:W3CDTF">2026-04-06T03:34:42+04:00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