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«ԲԱԶՄԱԲՆԱԿԱՐԱՆ ՇԵՆՔԻ ԿԱՌԱՎԱՐՄԱՆ ՄԱՍԻՆ» ՕՐԵՆՔՈՒՄ ՓՈՓՈԽՈՒԹՅՈՒՆ ԵՎ ԼՐԱՑՈՒՄ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 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OՐԵՆՔ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«ԲԱԶՄԱԲՆԱԿԱՐԱՆ ՇԵՆՔԻ ԿԱՌԱՎԱՐՄԱՆ ՄԱՍԻՆ» ՕՐԵՆՔՈՒՄ ՓՈՓՈԽՈՒԹՅՈՒՆ ԵՎ ԼՐԱՑՈՒՄ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«Բազմաբնակարան շենքի կառավարման մասին» 2002 թվականի մայիսի 7-ի ՀՕ-334 օրենքի (այսուհետ՝ Օրենք) 2-րդ հոդվածի 9-րդ պարբերությունը շարադրել հետևյալ խմբագրությամբ.</w:t>
      </w:r>
    </w:p>
    <w:p>
      <w:pPr/>
      <w:r>
        <w:rPr/>
        <w:t xml:space="preserve">«</w:t>
      </w:r>
      <w:r>
        <w:rPr>
          <w:b w:val="1"/>
          <w:bCs w:val="1"/>
        </w:rPr>
        <w:t xml:space="preserve">բազմաբնակարան շենքի ընդհանուր բաժնային սեփականության կառավարում`</w:t>
      </w:r>
      <w:r>
        <w:rPr/>
        <w:t xml:space="preserve"> բաժնային սեփականության սեփականատերերի կողմից օրենքով և իրավական այլ ակտերով, ինչպես նաև պայմանագրերով նախատեսված իրենց իրավունքների, պարտականությունների և պարտավորությունների իրագործմանն ուղղված մասնագիտական գործունեություն»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 Օրենքը լրացնել հետևյալ բովանդակությամբ 17.1-ին հոդվածով.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17.1. Բազմաբնակարան շենքի ընդհանուր բաժնային սեփականության կառավարման մարմինների մասնագիտական գործունեության իրականացումը</w:t>
      </w:r>
    </w:p>
    <w:p>
      <w:pPr/>
      <w:r>
        <w:rPr/>
        <w:t xml:space="preserve">1. Բազմաբնակարան շենքերի ընդհանուր բաժնային սեփականության կառավարման մարմինների (համատիրության, հավատարմագրային կամ լիազորագրային կառավարիչների) գործունեությունը մասնագիտական գործունեություն է:</w:t>
      </w:r>
    </w:p>
    <w:p>
      <w:pPr/>
      <w:r>
        <w:rPr/>
        <w:t xml:space="preserve">2. Բազմաբնակարան շենքերի կառավարման գործառույթներ իրականացնող անձանց մասնագիտական որակավորմանը ներկայացվող պահանջները սահմանում է Հայաստանի Հանրապետության կառավարությունը»: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.</w:t>
      </w:r>
    </w:p>
    <w:p>
      <w:pPr/>
      <w:r>
        <w:rPr/>
        <w:t xml:space="preserve">1. Սույն օրենքն ուժի մեջ է մտնում 2025 թվականի հուլիսի 1-ից:</w:t>
      </w:r>
    </w:p>
    <w:p>
      <w:pPr/>
      <w:r>
        <w:rPr/>
        <w:t xml:space="preserve">2. Սույն օրենքից բխող ենթաօրենսդրական նորմատիվ իրավական ակտերն ընդունվում են մինչև 2023 թվականի դեկտեմբերի 1-ը: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2026-04-03T18:46:22+04:00</dcterms:created>
  <dcterms:modified xsi:type="dcterms:W3CDTF">2026-04-03T18:46:22+04:00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