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2003 թվականի մարտի 7-ի N 218-Ն որոշման մեջ փոփոխություններ և լրացում կատարելու մասին»</w:t></w:r><w:bookmarkEnd w:id="0"/></w:p><w:p><w:pPr/><w:r><w:rPr/><w:t xml:space="preserve">ՆԱԽԱԳԻԾ       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/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</w:t></w:r></w:p><w:p><w:pPr/><w:r><w:rPr/><w:t xml:space="preserve"><>  2022 թվականի N –Ն</w:t></w:r></w:p><w:p><w:pPr/><w:r><w:rPr/><w:t xml:space="preserve"> </w:t></w:r></w:p><w:p><w:pPr/><w:r><w:rPr><w:b w:val="1"/><w:bCs w:val="1"/></w:rPr><w:t xml:space="preserve">ՀԱՅԱՍՏԱՆԻ ՀԱՆՐԱՊԵՏՈՒԹՅԱՆ ԿԱՌԱՎԱՐՈՒԹՅԱՆ  2003 ԹՎԱԿԱՆԻ ՄԱՐՏԻ 7-Ի N 218-Ն ՈՐՈՇՄԱՆ ՄԵՋ  ՓՈՓՈԽՈՒԹՅՈՒՆՆԵՐ </w:t></w:r><w:r><w:rPr><w:b w:val="1"/><w:bCs w:val="1"/></w:rPr><w:t xml:space="preserve">ԵՎ ԼՐԱՑՈՒՄ </w:t></w:r><w:r><w:rPr><w:b w:val="1"/><w:bCs w:val="1"/></w:rPr><w:t xml:space="preserve">ԿԱՏԱՐԵԼՈՒ ՄԱՍԻՆ</w:t></w:r></w:p><w:p><w:pPr/><w:r><w:rPr/><w:t xml:space="preserve"> </w:t></w:r></w:p><w:p><w:pPr/><w:r><w:rPr/><w:t xml:space="preserve">Հիմք ընդունելով «Նորմատիվ իրավական ակտերի մասին» օրենքի 33-րդ և 34-րդ հոդվածները` Հայաստանի Հանրապետության կառավարությունը </w:t></w:r><w:r><w:rPr><w:b w:val="1"/><w:bCs w:val="1"/></w:rPr><w:t xml:space="preserve">որոշում է.</w:t></w:r></w:p><w:p><w:pPr><w:numPr><w:ilvl w:val="0"/><w:numId w:val="2"/></w:numPr></w:pPr><w:r><w:rPr/><w:t xml:space="preserve">Հայաստանի Հանրապետության կառավարության 2003 թվականի մարտի 7-ի «Ջրօգտագործման թույլտվության օրինակելի ձևաթուղթը և ջրօգտագործման թույլտվության ձևերը, ջրօգտագործման թույլտվության տրամադրման, ջրօգտագործման թույլտվության երկարաձգման կարգերը, ջրաղբյուրի, հորատանցքիանձնագրերի և հիդրոերկրաբանական հորատանցքի նախագծային երկրաբանատեխնիկական կտրվածքի ձևերը հաստատելու մասին» N 218-Ն որոշման.</w:t></w:r></w:p><w:p><w:pPr/><w:r><w:rPr/><w:t xml:space="preserve">1) նախաբանը «ջրային օրենսգրքի» բառերից հետո լրացնել «ջրային օրենսգրքի 30-րդ և 37.1-րդ հոդվածների,» բառերով.</w:t></w:r></w:p><w:p><w:pPr/><w:r><w:rPr/><w:t xml:space="preserve"> 2) N2 հավելվածի ջրօգտագործման թույլտվություն ստանալու համար պահանջվող փաստաթղթերի ցանկի 2-րդ կետն ուժը կորցրած ճանաչել.</w:t></w:r></w:p><w:p><w:pPr/><w:r><w:rPr/><w:t xml:space="preserve">3) N3 հավելվածը լրացնել հետևյալ բովանդակությամբ նոր 12-րդ կետով.</w:t></w:r></w:p><w:p><w:pPr/><w:r><w:rPr/><w:t xml:space="preserve">«12. Ջրային ռեսուրսների կառավարման և պահպանության լիազոր մարմնի նախաձեռնությամբ՝ վարչական վարույթին ջրօգտագործողի ներգրավմամբ կամ ջրօգտագործողի դիմումի հիման վրա ջրօգտագործման թույլտվություններում կարող են կատարվել ջրօգտագործման թույլտվության պայմանների բովանդակային փոփոխություն չառաջացնող տեխնիկական վրիպակների շտկումներ։»։</w:t></w:r></w:p><w:p><w:pPr><w:numPr><w:ilvl w:val="0"/><w:numId w:val="3"/></w:numPr></w:pPr><w:r><w:rPr/><w:t xml:space="preserve">Սույն որոշումն ուժի մեջ է մտնում պաշտոնական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641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DF25C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2026-03-31T08:15:00+04:00</dcterms:created>
  <dcterms:modified xsi:type="dcterms:W3CDTF">2026-03-31T08:15:00+04:00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