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«Հարկային հաշվարկները հարկային մարմին թղթային եղանակով ներկայացնելու դեպքերը սահմանելու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…………..............................</w:t>
      </w:r>
      <w:r>
        <w:rPr>
          <w:b w:val="1"/>
          <w:bCs w:val="1"/>
        </w:rPr>
        <w:t xml:space="preserve"> 2017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……….. –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ՀԱՐԿԱՅԻՆ ՀԱՇՎԱՐԿՆԵՐԸ ՀԱՐԿԱՅԻՆ ՄԱՐՄԻՆ ԹՂԹԱՅԻՆ ԵՂԱՆԱԿՈՎ ՆԵՐԿԱՅԱՑՆԵԼՈՒ ԴԵՊՔԵՐԸ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ՍԱՀՄԱՆԵԼՈՒ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հարկային օրենսգրքի 53-րդ հոդվածի 5-րդ մասը` Հայաստանի Հանրապետության կառավարությունը ո ր ո շ ու մ  է.</w:t>
      </w:r>
    </w:p>
    <w:p>
      <w:pPr>
        <w:numPr>
          <w:ilvl w:val="0"/>
          <w:numId w:val="2"/>
        </w:numPr>
      </w:pPr>
      <w:r>
        <w:rPr/>
        <w:t xml:space="preserve">Սահմանել՝ հարկային հաշվարկները հարկային մարմին թղթային եղանակով ներկայացնելու դեպքերը՝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2018 թվականի հունվարի 1-ից: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2017թվականի</w:t>
      </w:r>
    </w:p>
    <w:p>
      <w:pPr>
        <w:jc w:val="end"/>
      </w:pPr>
      <w:r>
        <w:rPr/>
        <w:t xml:space="preserve">______________-ի ______-ի N _____-Ն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ՀԱՐԿԱՅԻՆ ՀԱՇՎԱՐԿՆԵՐԸ ՀԱՐԿԱՅԻՆ ՄԱՐՄԻՆ ԹՂԹԱՅԻՆ ԵՂԱՆԱԿՈՎ ՆԵՐԿԱՅԱՑՆԵԼՈՒ ԴԵՊՔԵՐԸ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հարկային հաշվարկները հարկային մարմին թղթային եղանակով ներկայացնելու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Հարկային հաշվարկները, բացառությամբ եկամտային հարկի հաշվարկի, հարկային մարմին թղթային եղանակով կարող են ներկայացվել հարկային մարմնի ծրագրային համակարգի խափանման դեպքում:</w:t>
      </w:r>
    </w:p>
    <w:p>
      <w:pPr>
        <w:numPr>
          <w:ilvl w:val="0"/>
          <w:numId w:val="3"/>
        </w:numPr>
      </w:pPr>
      <w:r>
        <w:rPr/>
        <w:t xml:space="preserve">Հարկային մարմնի ծրագրային համակարգի խափանման դեպքում եկամտային հարկի հաշվարկը ներկայացվում է ծրագրային համակարգի խափանումն ավարտվելուց հետո՝ էլեկտրոնային եղանակով:</w:t>
      </w:r>
    </w:p>
    <w:p>
      <w:pPr>
        <w:numPr>
          <w:ilvl w:val="0"/>
          <w:numId w:val="3"/>
        </w:numPr>
      </w:pPr>
      <w:r>
        <w:rPr/>
        <w:t xml:space="preserve">Հարկային մարմնի ծրագրային համակարգի խափանման փաստը թղթային եղանակով հարկային հաշվարկներն ընդունող աշխատակցի կողմից ստուգվում է  հարկային մարմնի պաշտոնական կայքում (taxservice.am) հրապարակված տեղեկատվության հիման վրա, որտեղ նշվում է խափանման ժամկետի սկիզբը և ավարտը:</w:t>
      </w:r>
    </w:p>
    <w:p>
      <w:pPr>
        <w:numPr>
          <w:ilvl w:val="0"/>
          <w:numId w:val="3"/>
        </w:numPr>
      </w:pPr>
      <w:r>
        <w:rPr/>
        <w:t xml:space="preserve">Հարկ վճարողները թղթային եղանակով հարկային հաշվարկները հարկային մարմին ներկայացնում են փոստային կապի միջոցով` պատվիրված նամակով կամ առձեռն:</w:t>
      </w:r>
    </w:p>
    <w:p>
      <w:pPr>
        <w:numPr>
          <w:ilvl w:val="0"/>
          <w:numId w:val="3"/>
        </w:numPr>
      </w:pPr>
      <w:r>
        <w:rPr/>
        <w:t xml:space="preserve">Հարկային մարմին թղթային եղանակով ներկայացված հարկային հաշվարկները կազմվում են հարկային մարմնի սահմանված ձևերին և լրացման կարգին համապատասխան: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45F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C20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2026-04-02T17:47:33+04:00</dcterms:created>
  <dcterms:modified xsi:type="dcterms:W3CDTF">2026-04-02T17:47:33+04:00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